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BF6B5">
      <w:pPr>
        <w:ind w:firstLine="321" w:firstLineChars="100"/>
        <w:jc w:val="center"/>
        <w:rPr>
          <w:rFonts w:asciiTheme="majorEastAsia" w:hAnsiTheme="majorEastAsia" w:eastAsiaTheme="majorEastAsia"/>
          <w:b/>
          <w:sz w:val="32"/>
          <w:szCs w:val="32"/>
        </w:rPr>
      </w:pPr>
      <w:bookmarkStart w:id="0" w:name="_GoBack"/>
      <w:bookmarkEnd w:id="0"/>
    </w:p>
    <w:p w14:paraId="326F4439">
      <w:pPr>
        <w:ind w:firstLine="321" w:firstLineChars="100"/>
        <w:jc w:val="center"/>
        <w:rPr>
          <w:rFonts w:asciiTheme="majorEastAsia" w:hAnsiTheme="majorEastAsia" w:eastAsiaTheme="majorEastAsia"/>
          <w:b/>
          <w:sz w:val="32"/>
          <w:szCs w:val="32"/>
        </w:rPr>
      </w:pPr>
    </w:p>
    <w:p w14:paraId="4A48AFB5">
      <w:pPr>
        <w:ind w:firstLine="321" w:firstLineChars="100"/>
        <w:jc w:val="center"/>
        <w:rPr>
          <w:rFonts w:asciiTheme="majorEastAsia" w:hAnsiTheme="majorEastAsia" w:eastAsiaTheme="majorEastAsia"/>
          <w:b/>
          <w:sz w:val="32"/>
          <w:szCs w:val="32"/>
        </w:rPr>
      </w:pPr>
    </w:p>
    <w:p w14:paraId="3E5E7FC2">
      <w:pPr>
        <w:ind w:firstLine="482" w:firstLineChars="100"/>
        <w:jc w:val="center"/>
        <w:rPr>
          <w:rFonts w:cs="宋体" w:asciiTheme="majorEastAsia" w:hAnsiTheme="majorEastAsia" w:eastAsiaTheme="majorEastAsia"/>
          <w:b/>
          <w:sz w:val="48"/>
          <w:szCs w:val="48"/>
        </w:rPr>
      </w:pPr>
      <w:r>
        <w:rPr>
          <w:rFonts w:hint="eastAsia" w:cs="宋体" w:asciiTheme="majorEastAsia" w:hAnsiTheme="majorEastAsia" w:eastAsiaTheme="majorEastAsia"/>
          <w:b/>
          <w:sz w:val="48"/>
          <w:szCs w:val="48"/>
        </w:rPr>
        <w:t>管理体系记录</w:t>
      </w:r>
    </w:p>
    <w:p w14:paraId="0E2BBCCD">
      <w:pPr>
        <w:ind w:firstLine="482" w:firstLineChars="100"/>
        <w:jc w:val="center"/>
        <w:rPr>
          <w:rFonts w:asciiTheme="majorEastAsia" w:hAnsiTheme="majorEastAsia" w:eastAsiaTheme="majorEastAsia"/>
          <w:b/>
          <w:sz w:val="48"/>
          <w:szCs w:val="48"/>
        </w:rPr>
      </w:pPr>
    </w:p>
    <w:p w14:paraId="325A9535">
      <w:pPr>
        <w:jc w:val="both"/>
        <w:rPr>
          <w:rFonts w:asciiTheme="majorEastAsia" w:hAnsiTheme="majorEastAsia" w:eastAsiaTheme="majorEastAsia"/>
          <w:b/>
          <w:sz w:val="32"/>
          <w:szCs w:val="32"/>
        </w:rPr>
      </w:pPr>
    </w:p>
    <w:p w14:paraId="5F5D2E76">
      <w:pPr>
        <w:ind w:firstLine="522" w:firstLineChars="100"/>
        <w:jc w:val="center"/>
        <w:rPr>
          <w:rFonts w:cs="宋体" w:asciiTheme="majorEastAsia" w:hAnsiTheme="majorEastAsia" w:eastAsiaTheme="majorEastAsia"/>
          <w:b/>
          <w:sz w:val="52"/>
          <w:szCs w:val="52"/>
        </w:rPr>
      </w:pPr>
      <w:r>
        <w:rPr>
          <w:rFonts w:hint="eastAsia" w:cs="宋体" w:asciiTheme="majorEastAsia" w:hAnsiTheme="majorEastAsia" w:eastAsiaTheme="majorEastAsia"/>
          <w:b/>
          <w:sz w:val="52"/>
          <w:szCs w:val="52"/>
        </w:rPr>
        <w:t>组织环境、相关方及风险和机遇</w:t>
      </w:r>
    </w:p>
    <w:p w14:paraId="1E4044EF">
      <w:pPr>
        <w:ind w:firstLine="522" w:firstLineChars="100"/>
        <w:jc w:val="center"/>
        <w:rPr>
          <w:rFonts w:cs="宋体" w:asciiTheme="majorEastAsia" w:hAnsiTheme="majorEastAsia" w:eastAsiaTheme="majorEastAsia"/>
          <w:b/>
          <w:sz w:val="52"/>
          <w:szCs w:val="52"/>
        </w:rPr>
      </w:pPr>
      <w:r>
        <w:rPr>
          <w:rFonts w:hint="eastAsia" w:cs="宋体" w:asciiTheme="majorEastAsia" w:hAnsiTheme="majorEastAsia" w:eastAsiaTheme="majorEastAsia"/>
          <w:b/>
          <w:sz w:val="52"/>
          <w:szCs w:val="52"/>
        </w:rPr>
        <w:t>分析和评价</w:t>
      </w:r>
    </w:p>
    <w:p w14:paraId="710F5F7A">
      <w:pPr>
        <w:ind w:firstLine="522" w:firstLineChars="100"/>
        <w:jc w:val="center"/>
        <w:rPr>
          <w:rFonts w:asciiTheme="majorEastAsia" w:hAnsiTheme="majorEastAsia" w:eastAsiaTheme="majorEastAsia"/>
          <w:b/>
          <w:sz w:val="52"/>
          <w:szCs w:val="52"/>
        </w:rPr>
      </w:pPr>
    </w:p>
    <w:p w14:paraId="6820EE5E">
      <w:pPr>
        <w:ind w:firstLine="321" w:firstLineChars="100"/>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责任部门：办公室、领导层</w:t>
      </w:r>
    </w:p>
    <w:p w14:paraId="6561B525">
      <w:pPr>
        <w:ind w:firstLine="321" w:firstLineChars="100"/>
        <w:jc w:val="center"/>
        <w:rPr>
          <w:rFonts w:hint="default" w:asciiTheme="majorEastAsia" w:hAnsiTheme="majorEastAsia" w:eastAsiaTheme="majorEastAsia"/>
          <w:b/>
          <w:sz w:val="32"/>
          <w:szCs w:val="32"/>
          <w:lang w:val="en-US" w:eastAsia="zh-CN"/>
        </w:rPr>
      </w:pPr>
      <w:r>
        <w:rPr>
          <w:rFonts w:hint="eastAsia" w:asciiTheme="majorEastAsia" w:hAnsiTheme="majorEastAsia" w:eastAsiaTheme="majorEastAsia"/>
          <w:b/>
          <w:sz w:val="32"/>
          <w:szCs w:val="32"/>
          <w:lang w:val="en-US" w:eastAsia="zh-CN"/>
        </w:rPr>
        <w:t xml:space="preserve">  </w:t>
      </w:r>
      <w:r>
        <w:rPr>
          <w:rFonts w:hint="eastAsia" w:asciiTheme="majorEastAsia" w:hAnsiTheme="majorEastAsia" w:eastAsiaTheme="majorEastAsia"/>
          <w:b/>
          <w:sz w:val="32"/>
          <w:szCs w:val="32"/>
        </w:rPr>
        <w:t>编制：</w:t>
      </w:r>
      <w:r>
        <w:rPr>
          <w:rFonts w:hint="eastAsia" w:asciiTheme="majorEastAsia" w:hAnsiTheme="majorEastAsia" w:eastAsiaTheme="majorEastAsia"/>
          <w:b/>
          <w:sz w:val="32"/>
          <w:szCs w:val="32"/>
          <w:lang w:val="en-US" w:eastAsia="zh-CN"/>
        </w:rPr>
        <w:t>杨伟佳</w:t>
      </w:r>
    </w:p>
    <w:p w14:paraId="593ED73B">
      <w:pPr>
        <w:ind w:firstLine="321" w:firstLineChars="100"/>
        <w:jc w:val="center"/>
        <w:rPr>
          <w:rFonts w:hint="default" w:asciiTheme="majorEastAsia" w:hAnsiTheme="majorEastAsia" w:eastAsiaTheme="majorEastAsia"/>
          <w:b/>
          <w:sz w:val="32"/>
          <w:szCs w:val="32"/>
          <w:lang w:val="en-US" w:eastAsia="zh-CN"/>
        </w:rPr>
      </w:pPr>
      <w:r>
        <w:rPr>
          <w:rFonts w:hint="eastAsia" w:asciiTheme="majorEastAsia" w:hAnsiTheme="majorEastAsia" w:eastAsiaTheme="majorEastAsia"/>
          <w:b/>
          <w:sz w:val="32"/>
          <w:szCs w:val="32"/>
        </w:rPr>
        <w:t xml:space="preserve">  批准：</w:t>
      </w:r>
      <w:r>
        <w:rPr>
          <w:rFonts w:hint="eastAsia" w:asciiTheme="majorEastAsia" w:hAnsiTheme="majorEastAsia" w:eastAsiaTheme="majorEastAsia"/>
          <w:b/>
          <w:sz w:val="32"/>
          <w:szCs w:val="32"/>
          <w:lang w:val="en-US" w:eastAsia="zh-CN"/>
        </w:rPr>
        <w:t>穆卫强</w:t>
      </w:r>
    </w:p>
    <w:p w14:paraId="67467246">
      <w:pPr>
        <w:ind w:firstLine="321" w:firstLineChars="100"/>
        <w:jc w:val="center"/>
        <w:rPr>
          <w:rFonts w:asciiTheme="majorEastAsia" w:hAnsiTheme="majorEastAsia" w:eastAsiaTheme="majorEastAsia"/>
          <w:b/>
          <w:sz w:val="32"/>
          <w:szCs w:val="32"/>
        </w:rPr>
      </w:pPr>
      <w:r>
        <w:rPr>
          <w:rFonts w:asciiTheme="majorEastAsia" w:hAnsiTheme="majorEastAsia" w:eastAsiaTheme="majorEastAsia"/>
          <w:b/>
          <w:sz w:val="32"/>
          <w:szCs w:val="32"/>
        </w:rPr>
        <w:t xml:space="preserve"> </w:t>
      </w:r>
      <w:r>
        <w:rPr>
          <w:rFonts w:hint="eastAsia" w:asciiTheme="majorEastAsia" w:hAnsiTheme="majorEastAsia" w:eastAsiaTheme="majorEastAsia"/>
          <w:b/>
          <w:sz w:val="32"/>
          <w:szCs w:val="32"/>
        </w:rPr>
        <w:t>日期：202</w:t>
      </w:r>
      <w:r>
        <w:rPr>
          <w:rFonts w:hint="eastAsia" w:asciiTheme="majorEastAsia" w:hAnsiTheme="majorEastAsia" w:eastAsiaTheme="majorEastAsia"/>
          <w:b/>
          <w:sz w:val="32"/>
          <w:szCs w:val="32"/>
          <w:lang w:val="en-US" w:eastAsia="zh-CN"/>
        </w:rPr>
        <w:t>5</w:t>
      </w:r>
      <w:r>
        <w:rPr>
          <w:rFonts w:hint="eastAsia" w:asciiTheme="majorEastAsia" w:hAnsiTheme="majorEastAsia" w:eastAsiaTheme="majorEastAsia"/>
          <w:b/>
          <w:sz w:val="32"/>
          <w:szCs w:val="32"/>
        </w:rPr>
        <w:t>.</w:t>
      </w:r>
      <w:r>
        <w:rPr>
          <w:rFonts w:hint="eastAsia" w:asciiTheme="majorEastAsia" w:hAnsiTheme="majorEastAsia" w:eastAsiaTheme="majorEastAsia"/>
          <w:b/>
          <w:sz w:val="32"/>
          <w:szCs w:val="32"/>
          <w:lang w:val="en-US" w:eastAsia="zh-CN"/>
        </w:rPr>
        <w:t>01</w:t>
      </w:r>
      <w:r>
        <w:rPr>
          <w:rFonts w:hint="eastAsia" w:asciiTheme="majorEastAsia" w:hAnsiTheme="majorEastAsia" w:eastAsiaTheme="majorEastAsia"/>
          <w:b/>
          <w:sz w:val="32"/>
          <w:szCs w:val="32"/>
        </w:rPr>
        <w:t>.</w:t>
      </w:r>
      <w:r>
        <w:rPr>
          <w:rFonts w:hint="eastAsia" w:asciiTheme="majorEastAsia" w:hAnsiTheme="majorEastAsia" w:eastAsiaTheme="majorEastAsia"/>
          <w:b/>
          <w:sz w:val="32"/>
          <w:szCs w:val="32"/>
          <w:lang w:val="en-US" w:eastAsia="zh-CN"/>
        </w:rPr>
        <w:t>01</w:t>
      </w:r>
      <w:r>
        <w:rPr>
          <w:rFonts w:hint="eastAsia" w:asciiTheme="majorEastAsia" w:hAnsiTheme="majorEastAsia" w:eastAsiaTheme="majorEastAsia"/>
          <w:b/>
          <w:sz w:val="32"/>
          <w:szCs w:val="32"/>
        </w:rPr>
        <w:t xml:space="preserve">日  </w:t>
      </w:r>
    </w:p>
    <w:p w14:paraId="78A7A620">
      <w:pPr>
        <w:ind w:firstLine="321" w:firstLineChars="100"/>
        <w:jc w:val="center"/>
        <w:rPr>
          <w:rFonts w:asciiTheme="majorEastAsia" w:hAnsiTheme="majorEastAsia" w:eastAsiaTheme="majorEastAsia"/>
          <w:b/>
          <w:sz w:val="32"/>
          <w:szCs w:val="32"/>
        </w:rPr>
      </w:pPr>
    </w:p>
    <w:tbl>
      <w:tblPr>
        <w:tblStyle w:val="8"/>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4505"/>
        <w:gridCol w:w="2945"/>
        <w:gridCol w:w="1252"/>
      </w:tblGrid>
      <w:tr w14:paraId="5D07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6ECE1AC4">
            <w:pPr>
              <w:widowControl w:val="0"/>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序号</w:t>
            </w:r>
          </w:p>
        </w:tc>
        <w:tc>
          <w:tcPr>
            <w:tcW w:w="4505" w:type="dxa"/>
            <w:vAlign w:val="center"/>
          </w:tcPr>
          <w:p w14:paraId="45508DA0">
            <w:pPr>
              <w:widowControl w:val="0"/>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名称</w:t>
            </w:r>
          </w:p>
        </w:tc>
        <w:tc>
          <w:tcPr>
            <w:tcW w:w="2945" w:type="dxa"/>
            <w:vAlign w:val="center"/>
          </w:tcPr>
          <w:p w14:paraId="3D2B1222">
            <w:pPr>
              <w:widowControl w:val="0"/>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编号</w:t>
            </w:r>
          </w:p>
        </w:tc>
        <w:tc>
          <w:tcPr>
            <w:tcW w:w="1252" w:type="dxa"/>
            <w:vAlign w:val="center"/>
          </w:tcPr>
          <w:p w14:paraId="404FB919">
            <w:pPr>
              <w:widowControl w:val="0"/>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页码</w:t>
            </w:r>
          </w:p>
        </w:tc>
      </w:tr>
      <w:tr w14:paraId="03F7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tcPr>
          <w:p w14:paraId="6F118E7B">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1</w:t>
            </w:r>
          </w:p>
        </w:tc>
        <w:tc>
          <w:tcPr>
            <w:tcW w:w="4505" w:type="dxa"/>
          </w:tcPr>
          <w:p w14:paraId="4C24B9A9">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内外部环境的分析、评价报告</w:t>
            </w:r>
          </w:p>
        </w:tc>
        <w:tc>
          <w:tcPr>
            <w:tcW w:w="2945" w:type="dxa"/>
          </w:tcPr>
          <w:p w14:paraId="312A7C9C">
            <w:pPr>
              <w:widowControl w:val="0"/>
              <w:jc w:val="both"/>
              <w:rPr>
                <w:rFonts w:hint="default" w:asciiTheme="majorEastAsia" w:hAnsiTheme="majorEastAsia" w:eastAsiaTheme="majorEastAsia"/>
                <w:bCs/>
                <w:sz w:val="28"/>
                <w:szCs w:val="28"/>
                <w:lang w:val="en-US" w:eastAsia="zh-CN"/>
              </w:rPr>
            </w:pPr>
            <w:r>
              <w:rPr>
                <w:rFonts w:hint="eastAsia" w:asciiTheme="majorEastAsia" w:hAnsiTheme="majorEastAsia" w:eastAsiaTheme="majorEastAsia"/>
                <w:bCs/>
                <w:sz w:val="28"/>
                <w:szCs w:val="28"/>
              </w:rPr>
              <w:t>JL-</w:t>
            </w:r>
            <w:r>
              <w:rPr>
                <w:rFonts w:hint="eastAsia" w:asciiTheme="majorEastAsia" w:hAnsiTheme="majorEastAsia" w:eastAsiaTheme="majorEastAsia"/>
                <w:bCs/>
                <w:sz w:val="28"/>
                <w:szCs w:val="28"/>
                <w:lang w:val="en-US" w:eastAsia="zh-CN"/>
              </w:rPr>
              <w:t>21</w:t>
            </w:r>
          </w:p>
        </w:tc>
        <w:tc>
          <w:tcPr>
            <w:tcW w:w="1252" w:type="dxa"/>
          </w:tcPr>
          <w:p w14:paraId="0CD9983D">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P1-2页</w:t>
            </w:r>
          </w:p>
        </w:tc>
      </w:tr>
      <w:tr w14:paraId="00AA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tcPr>
          <w:p w14:paraId="0678EEF9">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2</w:t>
            </w:r>
          </w:p>
        </w:tc>
        <w:tc>
          <w:tcPr>
            <w:tcW w:w="4505" w:type="dxa"/>
            <w:vAlign w:val="center"/>
          </w:tcPr>
          <w:p w14:paraId="514DA3D4">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 xml:space="preserve">相关方需求和期望识别、评价清单                      </w:t>
            </w:r>
          </w:p>
        </w:tc>
        <w:tc>
          <w:tcPr>
            <w:tcW w:w="2945" w:type="dxa"/>
            <w:vAlign w:val="center"/>
          </w:tcPr>
          <w:p w14:paraId="5EA07EE1">
            <w:pPr>
              <w:widowControl w:val="0"/>
              <w:jc w:val="both"/>
              <w:rPr>
                <w:rFonts w:hint="default" w:asciiTheme="majorEastAsia" w:hAnsiTheme="majorEastAsia" w:eastAsiaTheme="majorEastAsia"/>
                <w:bCs/>
                <w:sz w:val="28"/>
                <w:szCs w:val="28"/>
                <w:lang w:val="en-US" w:eastAsia="zh-CN"/>
              </w:rPr>
            </w:pPr>
            <w:r>
              <w:rPr>
                <w:rFonts w:hint="eastAsia" w:asciiTheme="majorEastAsia" w:hAnsiTheme="majorEastAsia" w:eastAsiaTheme="majorEastAsia"/>
                <w:bCs/>
                <w:sz w:val="28"/>
                <w:szCs w:val="28"/>
              </w:rPr>
              <w:t>JL-</w:t>
            </w:r>
            <w:r>
              <w:rPr>
                <w:rFonts w:hint="eastAsia" w:asciiTheme="majorEastAsia" w:hAnsiTheme="majorEastAsia" w:eastAsiaTheme="majorEastAsia"/>
                <w:bCs/>
                <w:sz w:val="28"/>
                <w:szCs w:val="28"/>
                <w:lang w:val="en-US" w:eastAsia="zh-CN"/>
              </w:rPr>
              <w:t>22</w:t>
            </w:r>
          </w:p>
        </w:tc>
        <w:tc>
          <w:tcPr>
            <w:tcW w:w="1252" w:type="dxa"/>
          </w:tcPr>
          <w:p w14:paraId="5418D1F2">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P3-4页</w:t>
            </w:r>
          </w:p>
        </w:tc>
      </w:tr>
      <w:tr w14:paraId="4C31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tcPr>
          <w:p w14:paraId="6AAD05C2">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3</w:t>
            </w:r>
          </w:p>
        </w:tc>
        <w:tc>
          <w:tcPr>
            <w:tcW w:w="4505" w:type="dxa"/>
            <w:vAlign w:val="center"/>
          </w:tcPr>
          <w:p w14:paraId="59D0BAE6">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 xml:space="preserve">应对重要风险和机遇措施实施计划  </w:t>
            </w:r>
          </w:p>
        </w:tc>
        <w:tc>
          <w:tcPr>
            <w:tcW w:w="2945" w:type="dxa"/>
            <w:vAlign w:val="center"/>
          </w:tcPr>
          <w:p w14:paraId="53B221E4">
            <w:pPr>
              <w:widowControl w:val="0"/>
              <w:jc w:val="both"/>
              <w:rPr>
                <w:rFonts w:hint="default" w:asciiTheme="majorEastAsia" w:hAnsiTheme="majorEastAsia" w:eastAsiaTheme="majorEastAsia"/>
                <w:bCs/>
                <w:sz w:val="28"/>
                <w:szCs w:val="28"/>
                <w:lang w:val="en-US" w:eastAsia="zh-CN"/>
              </w:rPr>
            </w:pPr>
            <w:r>
              <w:rPr>
                <w:rFonts w:hint="eastAsia" w:asciiTheme="majorEastAsia" w:hAnsiTheme="majorEastAsia" w:eastAsiaTheme="majorEastAsia"/>
                <w:bCs/>
                <w:sz w:val="28"/>
                <w:szCs w:val="28"/>
              </w:rPr>
              <w:t>JL-</w:t>
            </w:r>
            <w:r>
              <w:rPr>
                <w:rFonts w:hint="eastAsia" w:asciiTheme="majorEastAsia" w:hAnsiTheme="majorEastAsia" w:eastAsiaTheme="majorEastAsia"/>
                <w:bCs/>
                <w:sz w:val="28"/>
                <w:szCs w:val="28"/>
                <w:lang w:val="en-US" w:eastAsia="zh-CN"/>
              </w:rPr>
              <w:t>23</w:t>
            </w:r>
          </w:p>
        </w:tc>
        <w:tc>
          <w:tcPr>
            <w:tcW w:w="1252" w:type="dxa"/>
          </w:tcPr>
          <w:p w14:paraId="5D3C6787">
            <w:pPr>
              <w:widowControl w:val="0"/>
              <w:jc w:val="both"/>
              <w:rPr>
                <w:rFonts w:asciiTheme="majorEastAsia" w:hAnsiTheme="majorEastAsia" w:eastAsiaTheme="majorEastAsia"/>
                <w:bCs/>
                <w:sz w:val="28"/>
                <w:szCs w:val="28"/>
              </w:rPr>
            </w:pPr>
            <w:r>
              <w:rPr>
                <w:rFonts w:hint="eastAsia" w:asciiTheme="majorEastAsia" w:hAnsiTheme="majorEastAsia" w:eastAsiaTheme="majorEastAsia"/>
                <w:bCs/>
                <w:sz w:val="28"/>
                <w:szCs w:val="28"/>
              </w:rPr>
              <w:t>P5-</w:t>
            </w:r>
            <w:r>
              <w:rPr>
                <w:rFonts w:asciiTheme="majorEastAsia" w:hAnsiTheme="majorEastAsia" w:eastAsiaTheme="majorEastAsia"/>
                <w:bCs/>
                <w:sz w:val="28"/>
                <w:szCs w:val="28"/>
              </w:rPr>
              <w:t>6</w:t>
            </w:r>
            <w:r>
              <w:rPr>
                <w:rFonts w:hint="eastAsia" w:asciiTheme="majorEastAsia" w:hAnsiTheme="majorEastAsia" w:eastAsiaTheme="majorEastAsia"/>
                <w:bCs/>
                <w:sz w:val="28"/>
                <w:szCs w:val="28"/>
              </w:rPr>
              <w:t>页</w:t>
            </w:r>
          </w:p>
        </w:tc>
      </w:tr>
      <w:tr w14:paraId="6CDB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tcPr>
          <w:p w14:paraId="530EE607">
            <w:pPr>
              <w:widowControl w:val="0"/>
              <w:jc w:val="both"/>
              <w:rPr>
                <w:rFonts w:asciiTheme="majorEastAsia" w:hAnsiTheme="majorEastAsia" w:eastAsiaTheme="majorEastAsia"/>
                <w:bCs/>
                <w:sz w:val="28"/>
                <w:szCs w:val="28"/>
              </w:rPr>
            </w:pPr>
          </w:p>
        </w:tc>
        <w:tc>
          <w:tcPr>
            <w:tcW w:w="4505" w:type="dxa"/>
            <w:vAlign w:val="center"/>
          </w:tcPr>
          <w:p w14:paraId="02CC4BA8">
            <w:pPr>
              <w:widowControl w:val="0"/>
              <w:jc w:val="both"/>
              <w:rPr>
                <w:rFonts w:asciiTheme="majorEastAsia" w:hAnsiTheme="majorEastAsia" w:eastAsiaTheme="majorEastAsia"/>
                <w:bCs/>
                <w:sz w:val="28"/>
                <w:szCs w:val="28"/>
              </w:rPr>
            </w:pPr>
          </w:p>
        </w:tc>
        <w:tc>
          <w:tcPr>
            <w:tcW w:w="2945" w:type="dxa"/>
            <w:vAlign w:val="center"/>
          </w:tcPr>
          <w:p w14:paraId="0AD01E90">
            <w:pPr>
              <w:widowControl w:val="0"/>
              <w:jc w:val="both"/>
              <w:rPr>
                <w:rFonts w:asciiTheme="majorEastAsia" w:hAnsiTheme="majorEastAsia" w:eastAsiaTheme="majorEastAsia"/>
                <w:bCs/>
                <w:sz w:val="28"/>
                <w:szCs w:val="28"/>
              </w:rPr>
            </w:pPr>
          </w:p>
        </w:tc>
        <w:tc>
          <w:tcPr>
            <w:tcW w:w="1252" w:type="dxa"/>
          </w:tcPr>
          <w:p w14:paraId="1D56CEEB">
            <w:pPr>
              <w:widowControl w:val="0"/>
              <w:jc w:val="both"/>
              <w:rPr>
                <w:rFonts w:asciiTheme="majorEastAsia" w:hAnsiTheme="majorEastAsia" w:eastAsiaTheme="majorEastAsia"/>
                <w:bCs/>
                <w:sz w:val="28"/>
                <w:szCs w:val="28"/>
              </w:rPr>
            </w:pPr>
          </w:p>
        </w:tc>
      </w:tr>
      <w:tr w14:paraId="00B8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tcPr>
          <w:p w14:paraId="240044B5">
            <w:pPr>
              <w:widowControl w:val="0"/>
              <w:jc w:val="both"/>
              <w:rPr>
                <w:rFonts w:asciiTheme="majorEastAsia" w:hAnsiTheme="majorEastAsia" w:eastAsiaTheme="majorEastAsia"/>
                <w:bCs/>
                <w:sz w:val="28"/>
                <w:szCs w:val="28"/>
              </w:rPr>
            </w:pPr>
          </w:p>
        </w:tc>
        <w:tc>
          <w:tcPr>
            <w:tcW w:w="4505" w:type="dxa"/>
          </w:tcPr>
          <w:p w14:paraId="6CDD1519">
            <w:pPr>
              <w:widowControl w:val="0"/>
              <w:jc w:val="both"/>
              <w:rPr>
                <w:rFonts w:asciiTheme="majorEastAsia" w:hAnsiTheme="majorEastAsia" w:eastAsiaTheme="majorEastAsia"/>
                <w:bCs/>
                <w:sz w:val="28"/>
                <w:szCs w:val="28"/>
              </w:rPr>
            </w:pPr>
          </w:p>
        </w:tc>
        <w:tc>
          <w:tcPr>
            <w:tcW w:w="2945" w:type="dxa"/>
          </w:tcPr>
          <w:p w14:paraId="6D07EE6F">
            <w:pPr>
              <w:widowControl w:val="0"/>
              <w:jc w:val="both"/>
              <w:rPr>
                <w:rFonts w:asciiTheme="majorEastAsia" w:hAnsiTheme="majorEastAsia" w:eastAsiaTheme="majorEastAsia"/>
                <w:bCs/>
                <w:sz w:val="28"/>
                <w:szCs w:val="28"/>
              </w:rPr>
            </w:pPr>
          </w:p>
        </w:tc>
        <w:tc>
          <w:tcPr>
            <w:tcW w:w="1252" w:type="dxa"/>
          </w:tcPr>
          <w:p w14:paraId="5F9DFDA9">
            <w:pPr>
              <w:widowControl w:val="0"/>
              <w:jc w:val="both"/>
              <w:rPr>
                <w:rFonts w:asciiTheme="majorEastAsia" w:hAnsiTheme="majorEastAsia" w:eastAsiaTheme="majorEastAsia"/>
                <w:bCs/>
                <w:sz w:val="28"/>
                <w:szCs w:val="28"/>
              </w:rPr>
            </w:pPr>
          </w:p>
        </w:tc>
      </w:tr>
    </w:tbl>
    <w:p w14:paraId="501F5584">
      <w:pPr>
        <w:jc w:val="both"/>
        <w:rPr>
          <w:rFonts w:asciiTheme="majorEastAsia" w:hAnsiTheme="majorEastAsia" w:eastAsiaTheme="majorEastAsia"/>
          <w:b/>
          <w:sz w:val="32"/>
          <w:szCs w:val="32"/>
        </w:rPr>
      </w:pPr>
    </w:p>
    <w:p w14:paraId="34819595">
      <w:pPr>
        <w:jc w:val="both"/>
        <w:rPr>
          <w:rFonts w:asciiTheme="majorEastAsia" w:hAnsiTheme="majorEastAsia" w:eastAsiaTheme="majorEastAsia"/>
          <w:b/>
          <w:sz w:val="32"/>
          <w:szCs w:val="32"/>
        </w:rPr>
        <w:sectPr>
          <w:headerReference r:id="rId5" w:type="first"/>
          <w:footerReference r:id="rId6" w:type="default"/>
          <w:headerReference r:id="rId4" w:type="even"/>
          <w:footerReference r:id="rId7" w:type="even"/>
          <w:pgSz w:w="11906" w:h="16838"/>
          <w:pgMar w:top="1134" w:right="1134" w:bottom="1134" w:left="1134" w:header="851" w:footer="992" w:gutter="0"/>
          <w:pgNumType w:start="0"/>
          <w:cols w:space="720" w:num="1"/>
          <w:docGrid w:type="lines" w:linePitch="312" w:charSpace="0"/>
        </w:sectPr>
      </w:pPr>
    </w:p>
    <w:p w14:paraId="6BFFF31D">
      <w:pPr>
        <w:jc w:val="center"/>
        <w:rPr>
          <w:rFonts w:asciiTheme="majorEastAsia" w:hAnsiTheme="majorEastAsia" w:eastAsiaTheme="majorEastAsia"/>
          <w:b/>
          <w:bCs/>
          <w:sz w:val="32"/>
          <w:szCs w:val="32"/>
        </w:rPr>
      </w:pPr>
      <w:r>
        <w:rPr>
          <w:rFonts w:hint="eastAsia" w:asciiTheme="majorEastAsia" w:hAnsiTheme="majorEastAsia" w:eastAsiaTheme="majorEastAsia"/>
          <w:b/>
          <w:bCs/>
          <w:sz w:val="32"/>
          <w:szCs w:val="32"/>
        </w:rPr>
        <w:t>质量管理体系</w:t>
      </w:r>
    </w:p>
    <w:p w14:paraId="66C4EA39">
      <w:pPr>
        <w:jc w:val="center"/>
        <w:rPr>
          <w:rFonts w:asciiTheme="majorEastAsia" w:hAnsiTheme="majorEastAsia" w:eastAsiaTheme="majorEastAsia"/>
          <w:b/>
          <w:bCs/>
          <w:sz w:val="32"/>
          <w:szCs w:val="32"/>
        </w:rPr>
      </w:pPr>
      <w:r>
        <w:rPr>
          <w:rFonts w:hint="eastAsia" w:asciiTheme="majorEastAsia" w:hAnsiTheme="majorEastAsia" w:eastAsiaTheme="majorEastAsia"/>
          <w:b/>
          <w:bCs/>
          <w:sz w:val="32"/>
          <w:szCs w:val="32"/>
        </w:rPr>
        <w:t>内外部环境的分析、评价报告</w:t>
      </w:r>
    </w:p>
    <w:p w14:paraId="050D889B">
      <w:pPr>
        <w:jc w:val="both"/>
        <w:rPr>
          <w:rFonts w:hint="default" w:asciiTheme="majorEastAsia" w:hAnsiTheme="majorEastAsia" w:eastAsiaTheme="majorEastAsia" w:cstheme="minorEastAsia"/>
          <w:b/>
          <w:bCs/>
          <w:sz w:val="28"/>
          <w:szCs w:val="28"/>
          <w:lang w:val="en-US" w:eastAsia="zh-CN"/>
        </w:rPr>
      </w:pPr>
      <w:r>
        <w:rPr>
          <w:rFonts w:hint="eastAsia" w:asciiTheme="majorEastAsia" w:hAnsiTheme="majorEastAsia" w:eastAsiaTheme="majorEastAsia" w:cstheme="minorEastAsia"/>
          <w:b/>
          <w:bCs/>
          <w:sz w:val="28"/>
          <w:szCs w:val="28"/>
        </w:rPr>
        <w:t>编号：JL-</w:t>
      </w:r>
      <w:r>
        <w:rPr>
          <w:rFonts w:hint="eastAsia" w:asciiTheme="majorEastAsia" w:hAnsiTheme="majorEastAsia" w:eastAsiaTheme="majorEastAsia" w:cstheme="minorEastAsia"/>
          <w:b/>
          <w:bCs/>
          <w:sz w:val="28"/>
          <w:szCs w:val="28"/>
          <w:lang w:val="en-US" w:eastAsia="zh-CN"/>
        </w:rPr>
        <w:t>21</w:t>
      </w:r>
    </w:p>
    <w:p w14:paraId="788125CD">
      <w:pPr>
        <w:spacing w:after="0"/>
        <w:rPr>
          <w:rFonts w:asciiTheme="majorEastAsia" w:hAnsiTheme="majorEastAsia" w:eastAsiaTheme="majorEastAsia"/>
          <w:b/>
          <w:sz w:val="24"/>
        </w:rPr>
      </w:pPr>
      <w:r>
        <w:rPr>
          <w:rFonts w:hint="eastAsia" w:asciiTheme="majorEastAsia" w:hAnsiTheme="majorEastAsia" w:eastAsiaTheme="majorEastAsia"/>
          <w:b/>
          <w:sz w:val="24"/>
        </w:rPr>
        <w:t>1 总则</w:t>
      </w:r>
    </w:p>
    <w:p w14:paraId="7D72DAE0">
      <w:pPr>
        <w:spacing w:after="0"/>
        <w:ind w:firstLine="425"/>
        <w:rPr>
          <w:rFonts w:asciiTheme="majorEastAsia" w:hAnsiTheme="majorEastAsia" w:eastAsiaTheme="majorEastAsia"/>
          <w:sz w:val="24"/>
        </w:rPr>
      </w:pPr>
      <w:r>
        <w:rPr>
          <w:rFonts w:hint="eastAsia" w:asciiTheme="majorEastAsia" w:hAnsiTheme="majorEastAsia" w:eastAsiaTheme="majorEastAsia"/>
          <w:sz w:val="24"/>
        </w:rPr>
        <w:t>组织确定与公司宗旨相关并影响质量管理体系运行效果的内外部问题，发现应对质量管理风险和机遇的改进机会，以充分提高和保持质量管理体系的有效性和效率。</w:t>
      </w:r>
    </w:p>
    <w:p w14:paraId="253706F5">
      <w:pPr>
        <w:spacing w:after="0"/>
        <w:ind w:firstLine="425"/>
        <w:rPr>
          <w:rFonts w:asciiTheme="majorEastAsia" w:hAnsiTheme="majorEastAsia" w:eastAsiaTheme="majorEastAsia"/>
          <w:sz w:val="24"/>
        </w:rPr>
      </w:pPr>
      <w:r>
        <w:rPr>
          <w:rFonts w:hint="eastAsia" w:asciiTheme="majorEastAsia" w:hAnsiTheme="majorEastAsia" w:eastAsiaTheme="majorEastAsia"/>
          <w:sz w:val="24"/>
        </w:rPr>
        <w:t>适用于确定影响质量管理体系内外部问题的分析、评价过程控制。</w:t>
      </w:r>
    </w:p>
    <w:p w14:paraId="7CC000C9">
      <w:pPr>
        <w:spacing w:after="0"/>
        <w:rPr>
          <w:rFonts w:asciiTheme="majorEastAsia" w:hAnsiTheme="majorEastAsia" w:eastAsiaTheme="majorEastAsia"/>
          <w:b/>
          <w:sz w:val="24"/>
        </w:rPr>
      </w:pPr>
      <w:r>
        <w:rPr>
          <w:rFonts w:hint="eastAsia" w:asciiTheme="majorEastAsia" w:hAnsiTheme="majorEastAsia" w:eastAsiaTheme="majorEastAsia"/>
          <w:b/>
          <w:sz w:val="24"/>
        </w:rPr>
        <w:t>2 职责</w:t>
      </w:r>
    </w:p>
    <w:p w14:paraId="43F1996B">
      <w:pPr>
        <w:spacing w:after="0"/>
        <w:rPr>
          <w:rFonts w:asciiTheme="majorEastAsia" w:hAnsiTheme="majorEastAsia" w:eastAsiaTheme="majorEastAsia"/>
          <w:sz w:val="24"/>
        </w:rPr>
      </w:pPr>
      <w:r>
        <w:rPr>
          <w:rFonts w:hint="eastAsia" w:asciiTheme="majorEastAsia" w:hAnsiTheme="majorEastAsia" w:eastAsiaTheme="majorEastAsia"/>
          <w:sz w:val="24"/>
        </w:rPr>
        <w:t>2.1 总经理提出公司的宗旨、战略方向，指导开展影响管理体系内外部环境因素的分析、评价和监审工作。</w:t>
      </w:r>
    </w:p>
    <w:p w14:paraId="6BD66638">
      <w:pPr>
        <w:spacing w:after="0"/>
        <w:rPr>
          <w:rFonts w:asciiTheme="majorEastAsia" w:hAnsiTheme="majorEastAsia" w:eastAsiaTheme="majorEastAsia"/>
          <w:sz w:val="24"/>
        </w:rPr>
      </w:pPr>
      <w:r>
        <w:rPr>
          <w:rFonts w:hint="eastAsia" w:asciiTheme="majorEastAsia" w:hAnsiTheme="majorEastAsia" w:eastAsiaTheme="majorEastAsia"/>
          <w:sz w:val="24"/>
        </w:rPr>
        <w:t>2.2总经理与各部门负责人共同组织评审确定影响体系内外部环境问题的分析、评价和监审。</w:t>
      </w:r>
    </w:p>
    <w:p w14:paraId="7CC90CC7">
      <w:pPr>
        <w:spacing w:after="0"/>
        <w:rPr>
          <w:rFonts w:asciiTheme="majorEastAsia" w:hAnsiTheme="majorEastAsia" w:eastAsiaTheme="majorEastAsia"/>
          <w:sz w:val="24"/>
        </w:rPr>
      </w:pPr>
      <w:r>
        <w:rPr>
          <w:rFonts w:hint="eastAsia" w:asciiTheme="majorEastAsia" w:hAnsiTheme="majorEastAsia" w:eastAsiaTheme="majorEastAsia"/>
          <w:sz w:val="24"/>
        </w:rPr>
        <w:t>2.3 办公室整理体系内外部环境问题资料，形成必要文件，进行内部交流。</w:t>
      </w:r>
    </w:p>
    <w:p w14:paraId="737B27D3">
      <w:pPr>
        <w:spacing w:after="0"/>
        <w:rPr>
          <w:rFonts w:asciiTheme="majorEastAsia" w:hAnsiTheme="majorEastAsia" w:eastAsiaTheme="majorEastAsia"/>
          <w:sz w:val="24"/>
        </w:rPr>
      </w:pPr>
      <w:r>
        <w:rPr>
          <w:rFonts w:hint="eastAsia" w:asciiTheme="majorEastAsia" w:hAnsiTheme="majorEastAsia" w:eastAsiaTheme="majorEastAsia"/>
          <w:sz w:val="24"/>
        </w:rPr>
        <w:t>2.4 体系覆盖部门按规定完成各自工作任务，实施监视和评审内外部因素信息过程。</w:t>
      </w:r>
    </w:p>
    <w:p w14:paraId="67DDB72C">
      <w:pPr>
        <w:spacing w:after="0"/>
        <w:rPr>
          <w:rFonts w:asciiTheme="majorEastAsia" w:hAnsiTheme="majorEastAsia" w:eastAsiaTheme="majorEastAsia"/>
          <w:b/>
          <w:sz w:val="24"/>
        </w:rPr>
      </w:pPr>
      <w:r>
        <w:rPr>
          <w:rFonts w:hint="eastAsia" w:asciiTheme="majorEastAsia" w:hAnsiTheme="majorEastAsia" w:eastAsiaTheme="majorEastAsia"/>
          <w:b/>
          <w:sz w:val="24"/>
        </w:rPr>
        <w:t>3 影响管理体系运行的内部问题</w:t>
      </w:r>
    </w:p>
    <w:p w14:paraId="673EA302">
      <w:pPr>
        <w:spacing w:after="0"/>
        <w:rPr>
          <w:rFonts w:asciiTheme="majorEastAsia" w:hAnsiTheme="majorEastAsia" w:eastAsiaTheme="majorEastAsia"/>
          <w:sz w:val="24"/>
        </w:rPr>
      </w:pPr>
      <w:r>
        <w:rPr>
          <w:rFonts w:hint="eastAsia" w:asciiTheme="majorEastAsia" w:hAnsiTheme="majorEastAsia" w:eastAsiaTheme="majorEastAsia"/>
          <w:sz w:val="24"/>
        </w:rPr>
        <w:t>3.1公司生产作业现场经过现场调查和诊断，可确认为三大问题，即：</w:t>
      </w:r>
    </w:p>
    <w:p w14:paraId="434ACE0C">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生产量大时现场环境物品码放混乱，未实施目视管理和定置管理；</w:t>
      </w:r>
    </w:p>
    <w:p w14:paraId="063D5599">
      <w:pPr>
        <w:spacing w:after="0"/>
        <w:ind w:firstLine="360" w:firstLineChars="150"/>
        <w:rPr>
          <w:rFonts w:asciiTheme="majorEastAsia" w:hAnsiTheme="majorEastAsia" w:eastAsiaTheme="majorEastAsia"/>
          <w:sz w:val="24"/>
        </w:rPr>
      </w:pPr>
      <w:r>
        <w:rPr>
          <w:rFonts w:hint="eastAsia" w:asciiTheme="majorEastAsia" w:hAnsiTheme="majorEastAsia" w:eastAsiaTheme="majorEastAsia"/>
          <w:sz w:val="24"/>
        </w:rPr>
        <w:t xml:space="preserve"> -- 作业环境的清扫、清洁、素养缺少严格的监督考核；</w:t>
      </w:r>
    </w:p>
    <w:p w14:paraId="6516F2D3">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部分员工未养成严谨认真的工作习惯。</w:t>
      </w:r>
    </w:p>
    <w:p w14:paraId="43A7CE03">
      <w:pPr>
        <w:spacing w:after="0"/>
        <w:rPr>
          <w:rFonts w:asciiTheme="majorEastAsia" w:hAnsiTheme="majorEastAsia" w:eastAsiaTheme="majorEastAsia"/>
          <w:sz w:val="24"/>
        </w:rPr>
      </w:pPr>
      <w:r>
        <w:rPr>
          <w:rFonts w:hint="eastAsia" w:asciiTheme="majorEastAsia" w:hAnsiTheme="majorEastAsia" w:eastAsiaTheme="majorEastAsia"/>
          <w:sz w:val="24"/>
        </w:rPr>
        <w:t>3.2 确认产生问题的要因：</w:t>
      </w:r>
    </w:p>
    <w:p w14:paraId="676647A8">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生产工艺技术文件（规程、工艺纪律）缺少现场环境控制具体要求；</w:t>
      </w:r>
    </w:p>
    <w:p w14:paraId="28394EAF">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对于生产现场的日常监督检查力度不够，专职人员配置不足、现场管理能力不足、权威性不足；</w:t>
      </w:r>
    </w:p>
    <w:p w14:paraId="44C0F82C">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未进行现场环境控制要求的培训和考核，作业人员未形成“5S”大生产意识，对自身对于环境控制和环境影响重视不够。</w:t>
      </w:r>
    </w:p>
    <w:p w14:paraId="181DF425">
      <w:pPr>
        <w:spacing w:after="0"/>
        <w:rPr>
          <w:rFonts w:asciiTheme="majorEastAsia" w:hAnsiTheme="majorEastAsia" w:eastAsiaTheme="majorEastAsia"/>
          <w:sz w:val="24"/>
        </w:rPr>
      </w:pPr>
      <w:r>
        <w:rPr>
          <w:rFonts w:hint="eastAsia" w:asciiTheme="majorEastAsia" w:hAnsiTheme="majorEastAsia" w:eastAsiaTheme="majorEastAsia"/>
          <w:sz w:val="24"/>
        </w:rPr>
        <w:t>3.3 对策措施</w:t>
      </w:r>
    </w:p>
    <w:p w14:paraId="35B45E6F">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按《应对环境重要风险和机遇措施实施计划》。</w:t>
      </w:r>
    </w:p>
    <w:p w14:paraId="71576593">
      <w:pPr>
        <w:spacing w:after="0"/>
        <w:rPr>
          <w:rFonts w:asciiTheme="majorEastAsia" w:hAnsiTheme="majorEastAsia" w:eastAsiaTheme="majorEastAsia"/>
          <w:b/>
          <w:sz w:val="24"/>
        </w:rPr>
      </w:pPr>
      <w:r>
        <w:rPr>
          <w:rFonts w:hint="eastAsia" w:asciiTheme="majorEastAsia" w:hAnsiTheme="majorEastAsia" w:eastAsiaTheme="majorEastAsia"/>
          <w:b/>
          <w:sz w:val="24"/>
        </w:rPr>
        <w:t>4企业内部环境管理优势</w:t>
      </w:r>
    </w:p>
    <w:p w14:paraId="132E6782">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通过建立质量管理体系，可以解决和改善目前公司生产现场环境存在的诸多问题，有效控制污染源，其企业环境管理优势在于：</w:t>
      </w:r>
    </w:p>
    <w:p w14:paraId="0ACEB55D">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员工热爱企业，渴望企业管理知识的学习，工作认真负责，愿意并可以接受在现场持续推行“5S”活动及现场方面的严格考核；</w:t>
      </w:r>
    </w:p>
    <w:p w14:paraId="29F5D053">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公司管理团队相对稳定，各级领导干部具有公司“一盘棋”的大局观，目标一致，部门之间合作意识强，工作不推诿；</w:t>
      </w:r>
    </w:p>
    <w:p w14:paraId="25A4AB12">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顾客提出了建立质量管理体系要求，其环境管理与生产经营活动紧密关切，以提高环境绩效保订单、保市场，各级领导都很重视质量管理体系认证工作；</w:t>
      </w:r>
    </w:p>
    <w:p w14:paraId="158DD2CE">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公司基础设施完善，工程设备和工艺装备为今年安装使用，流水线自动化程度高，具有先进性，环保设施齐全；</w:t>
      </w:r>
    </w:p>
    <w:p w14:paraId="2C718D76">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公司已通过质量管理体系认证，质量体系保持有效运行多年，文件化体系全面，工艺路线合理，工序质量控制严格，形成了全员参与质量控制的质量氛围，强化生产现场环境管理有一定基础。</w:t>
      </w:r>
    </w:p>
    <w:p w14:paraId="7F83739C">
      <w:pPr>
        <w:spacing w:after="0"/>
        <w:ind w:firstLine="465"/>
        <w:rPr>
          <w:rFonts w:asciiTheme="majorEastAsia" w:hAnsiTheme="majorEastAsia" w:eastAsiaTheme="majorEastAsia"/>
          <w:sz w:val="24"/>
        </w:rPr>
      </w:pPr>
      <w:r>
        <w:rPr>
          <w:rFonts w:hint="eastAsia" w:asciiTheme="majorEastAsia" w:hAnsiTheme="majorEastAsia" w:eastAsiaTheme="majorEastAsia"/>
          <w:sz w:val="24"/>
        </w:rPr>
        <w:t>-- 公司管理层高度重视员工培训，努力构建员工学习型团队，采用“员工走出去，专家请进来”的培训形式，全员普及技术和企业管理知识的培训，增强了岗位过程控制能力。</w:t>
      </w:r>
    </w:p>
    <w:p w14:paraId="3EC563A8">
      <w:pPr>
        <w:spacing w:after="0"/>
        <w:rPr>
          <w:rFonts w:asciiTheme="majorEastAsia" w:hAnsiTheme="majorEastAsia" w:eastAsiaTheme="majorEastAsia"/>
          <w:b/>
          <w:sz w:val="24"/>
        </w:rPr>
      </w:pPr>
      <w:r>
        <w:rPr>
          <w:rFonts w:hint="eastAsia" w:asciiTheme="majorEastAsia" w:hAnsiTheme="majorEastAsia" w:eastAsiaTheme="majorEastAsia"/>
          <w:b/>
          <w:sz w:val="24"/>
        </w:rPr>
        <w:t>5影响管理体系运行的外部问题</w:t>
      </w:r>
    </w:p>
    <w:p w14:paraId="25C1259C">
      <w:pPr>
        <w:spacing w:after="0"/>
        <w:rPr>
          <w:rFonts w:asciiTheme="majorEastAsia" w:hAnsiTheme="majorEastAsia" w:eastAsiaTheme="majorEastAsia"/>
          <w:b/>
          <w:sz w:val="24"/>
        </w:rPr>
      </w:pPr>
      <w:r>
        <w:rPr>
          <w:rFonts w:hint="eastAsia" w:asciiTheme="majorEastAsia" w:hAnsiTheme="majorEastAsia" w:eastAsiaTheme="majorEastAsia"/>
          <w:b/>
          <w:sz w:val="24"/>
        </w:rPr>
        <w:t>5.1 影响质量管理体系的外部环境问题</w:t>
      </w:r>
    </w:p>
    <w:p w14:paraId="267EFE1B">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公司影响质量管理体系的外部环境问题经识别、评价，确认为：</w:t>
      </w:r>
    </w:p>
    <w:p w14:paraId="77390DA9">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与质检局联系、沟通不够，地区质量要求等政策信息理解欠缺；</w:t>
      </w:r>
    </w:p>
    <w:p w14:paraId="3C71EEA4">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主动与客户质量控制部门履行沟通不足，未能及时了解客户对于生产作业环境的管理要求；</w:t>
      </w:r>
    </w:p>
    <w:p w14:paraId="4A8DA306">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未主动告知供方等相关方公司的质量要求，以共同承担起工程质量的社会责任；</w:t>
      </w:r>
    </w:p>
    <w:p w14:paraId="5CEC9343">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与同行业交流信息不足，未能坚持到同行先进企业进行学习，及时了解机加工的最先进的工艺技术和现场管理经验。</w:t>
      </w:r>
    </w:p>
    <w:p w14:paraId="3AA95561">
      <w:pPr>
        <w:spacing w:after="0"/>
        <w:rPr>
          <w:rFonts w:asciiTheme="majorEastAsia" w:hAnsiTheme="majorEastAsia" w:eastAsiaTheme="majorEastAsia"/>
          <w:b/>
          <w:sz w:val="24"/>
        </w:rPr>
      </w:pPr>
      <w:r>
        <w:rPr>
          <w:rFonts w:hint="eastAsia" w:asciiTheme="majorEastAsia" w:hAnsiTheme="majorEastAsia" w:eastAsiaTheme="majorEastAsia"/>
          <w:b/>
          <w:sz w:val="24"/>
        </w:rPr>
        <w:t>5.2企业外部环境管理优势</w:t>
      </w:r>
    </w:p>
    <w:p w14:paraId="0E93A50C">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公司外部环境管理优势经识别、评价，确认为：</w:t>
      </w:r>
    </w:p>
    <w:p w14:paraId="76B5777B">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生产规模、设备技术先进性、产品质量和现场环境控制质量得到客户的一致好评，订单逐年增加；</w:t>
      </w:r>
    </w:p>
    <w:p w14:paraId="3930B1A8">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在行业影响力较大，环境保护绩效得到行业协会的认可；</w:t>
      </w:r>
    </w:p>
    <w:p w14:paraId="0349D1A4">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从未发生过质量事故，较好地履行了产品质量的社会责任；</w:t>
      </w:r>
    </w:p>
    <w:p w14:paraId="3DE6AF12">
      <w:pPr>
        <w:spacing w:after="0"/>
        <w:ind w:firstLine="480" w:firstLineChars="200"/>
        <w:rPr>
          <w:rFonts w:asciiTheme="majorEastAsia" w:hAnsiTheme="majorEastAsia" w:eastAsiaTheme="majorEastAsia"/>
          <w:sz w:val="24"/>
        </w:rPr>
      </w:pPr>
      <w:r>
        <w:rPr>
          <w:rFonts w:hint="eastAsia" w:asciiTheme="majorEastAsia" w:hAnsiTheme="majorEastAsia" w:eastAsiaTheme="majorEastAsia"/>
          <w:sz w:val="24"/>
        </w:rPr>
        <w:t>-- 生产基础设施完善，生产作业空间宽敞明亮，为有效控制生产过程质量问题提供了管理基础。</w:t>
      </w:r>
    </w:p>
    <w:p w14:paraId="1ECF185D">
      <w:pPr>
        <w:spacing w:after="0"/>
        <w:rPr>
          <w:rFonts w:asciiTheme="majorEastAsia" w:hAnsiTheme="majorEastAsia" w:eastAsiaTheme="majorEastAsia"/>
          <w:b/>
          <w:sz w:val="24"/>
        </w:rPr>
      </w:pPr>
      <w:r>
        <w:rPr>
          <w:rFonts w:hint="eastAsia" w:asciiTheme="majorEastAsia" w:hAnsiTheme="majorEastAsia" w:eastAsiaTheme="majorEastAsia"/>
          <w:b/>
          <w:sz w:val="24"/>
        </w:rPr>
        <w:t>6不符合与纠正措施的确认、实施和验证</w:t>
      </w:r>
    </w:p>
    <w:p w14:paraId="2919F13E">
      <w:pPr>
        <w:spacing w:after="0"/>
        <w:ind w:firstLine="425"/>
        <w:rPr>
          <w:rFonts w:asciiTheme="majorEastAsia" w:hAnsiTheme="majorEastAsia" w:eastAsiaTheme="majorEastAsia"/>
          <w:sz w:val="24"/>
        </w:rPr>
      </w:pPr>
      <w:r>
        <w:rPr>
          <w:rFonts w:hint="eastAsia" w:asciiTheme="majorEastAsia" w:hAnsiTheme="majorEastAsia" w:eastAsiaTheme="majorEastAsia"/>
          <w:sz w:val="24"/>
        </w:rPr>
        <w:t>公司影响质量管理体系的内外部环境问题确认后，由管理者代表组织部门主管制定和实施环境目标实现计划、不符合与纠正措施计划，应对环境重要风险和机遇措施实施计划，发现和消除不符合原因，并实施过程中验证其实施效果，以确保实现环境目标，实现持续改进环境绩效。</w:t>
      </w:r>
    </w:p>
    <w:p w14:paraId="5578F897">
      <w:pPr>
        <w:spacing w:after="0"/>
        <w:ind w:firstLine="425"/>
        <w:rPr>
          <w:rFonts w:asciiTheme="majorEastAsia" w:hAnsiTheme="majorEastAsia" w:eastAsiaTheme="majorEastAsia"/>
          <w:b/>
          <w:bCs/>
        </w:rPr>
      </w:pPr>
    </w:p>
    <w:p w14:paraId="5845E9EA">
      <w:pPr>
        <w:spacing w:after="0"/>
        <w:ind w:firstLine="425"/>
        <w:rPr>
          <w:rFonts w:asciiTheme="majorEastAsia" w:hAnsiTheme="majorEastAsia" w:eastAsiaTheme="majorEastAsia"/>
          <w:b/>
          <w:bCs/>
        </w:rPr>
      </w:pPr>
    </w:p>
    <w:p w14:paraId="2FE40E61">
      <w:pPr>
        <w:spacing w:after="0"/>
        <w:ind w:firstLine="425"/>
        <w:rPr>
          <w:rFonts w:asciiTheme="majorEastAsia" w:hAnsiTheme="majorEastAsia" w:eastAsiaTheme="majorEastAsia"/>
        </w:rPr>
      </w:pPr>
      <w:r>
        <w:rPr>
          <w:rFonts w:asciiTheme="majorEastAsia" w:hAnsiTheme="majorEastAsia" w:eastAsiaTheme="majorEastAsia"/>
          <w:b/>
          <w:bCs/>
        </w:rPr>
        <w:t xml:space="preserve"> </w:t>
      </w:r>
    </w:p>
    <w:p w14:paraId="40B9F295">
      <w:pPr>
        <w:spacing w:after="0"/>
        <w:ind w:firstLine="425"/>
        <w:rPr>
          <w:rFonts w:asciiTheme="majorEastAsia" w:hAnsiTheme="majorEastAsia" w:eastAsiaTheme="majorEastAsia"/>
        </w:rPr>
      </w:pPr>
    </w:p>
    <w:p w14:paraId="7F21A213">
      <w:pPr>
        <w:spacing w:line="220" w:lineRule="atLeast"/>
        <w:rPr>
          <w:rFonts w:asciiTheme="majorEastAsia" w:hAnsiTheme="majorEastAsia" w:eastAsiaTheme="majorEastAsia"/>
          <w:b/>
          <w:sz w:val="32"/>
          <w:szCs w:val="32"/>
        </w:rPr>
        <w:sectPr>
          <w:pgSz w:w="11906" w:h="16838"/>
          <w:pgMar w:top="1134" w:right="1134" w:bottom="1134" w:left="1134" w:header="709" w:footer="709" w:gutter="0"/>
          <w:cols w:space="708" w:num="1"/>
          <w:docGrid w:linePitch="360" w:charSpace="0"/>
        </w:sectPr>
      </w:pPr>
    </w:p>
    <w:p w14:paraId="33ECA58A">
      <w:pPr>
        <w:spacing w:line="220" w:lineRule="atLeast"/>
        <w:ind w:firstLine="4658" w:firstLineChars="1450"/>
        <w:rPr>
          <w:rFonts w:asciiTheme="majorEastAsia" w:hAnsiTheme="majorEastAsia" w:eastAsiaTheme="majorEastAsia"/>
          <w:sz w:val="30"/>
          <w:szCs w:val="30"/>
        </w:rPr>
      </w:pPr>
      <w:r>
        <w:rPr>
          <w:rFonts w:hint="eastAsia" w:asciiTheme="majorEastAsia" w:hAnsiTheme="majorEastAsia" w:eastAsiaTheme="majorEastAsia"/>
          <w:b/>
          <w:sz w:val="32"/>
          <w:szCs w:val="32"/>
        </w:rPr>
        <w:t>相关方需求和期望识别、评价清单</w:t>
      </w:r>
    </w:p>
    <w:p w14:paraId="4767778B">
      <w:pPr>
        <w:spacing w:line="220" w:lineRule="atLeast"/>
        <w:jc w:val="both"/>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编号：JL-</w:t>
      </w:r>
      <w:r>
        <w:rPr>
          <w:rFonts w:hint="eastAsia" w:asciiTheme="majorEastAsia" w:hAnsiTheme="majorEastAsia" w:eastAsiaTheme="majorEastAsia"/>
          <w:b/>
          <w:sz w:val="24"/>
          <w:szCs w:val="24"/>
          <w:lang w:val="en-US" w:eastAsia="zh-CN"/>
        </w:rPr>
        <w:t>22</w:t>
      </w:r>
    </w:p>
    <w:tbl>
      <w:tblPr>
        <w:tblStyle w:val="8"/>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2860"/>
        <w:gridCol w:w="5740"/>
        <w:gridCol w:w="1189"/>
        <w:gridCol w:w="1189"/>
        <w:gridCol w:w="2378"/>
      </w:tblGrid>
      <w:tr w14:paraId="2BCE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430" w:type="dxa"/>
            <w:vAlign w:val="center"/>
          </w:tcPr>
          <w:p w14:paraId="78525EEB">
            <w:pPr>
              <w:widowControl w:val="0"/>
              <w:spacing w:after="0" w:line="220" w:lineRule="atLeast"/>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相关方类型</w:t>
            </w:r>
          </w:p>
        </w:tc>
        <w:tc>
          <w:tcPr>
            <w:tcW w:w="2860" w:type="dxa"/>
            <w:vAlign w:val="center"/>
          </w:tcPr>
          <w:p w14:paraId="35D5E31F">
            <w:pPr>
              <w:widowControl w:val="0"/>
              <w:spacing w:after="0" w:line="220" w:lineRule="atLeast"/>
              <w:ind w:firstLine="105" w:firstLineChars="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需求和期望</w:t>
            </w:r>
          </w:p>
        </w:tc>
        <w:tc>
          <w:tcPr>
            <w:tcW w:w="5740" w:type="dxa"/>
            <w:vAlign w:val="center"/>
          </w:tcPr>
          <w:p w14:paraId="44C0B985">
            <w:pPr>
              <w:widowControl w:val="0"/>
              <w:spacing w:after="0" w:line="220" w:lineRule="atLeast"/>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满足需求和期望措施</w:t>
            </w:r>
          </w:p>
        </w:tc>
        <w:tc>
          <w:tcPr>
            <w:tcW w:w="1189" w:type="dxa"/>
            <w:vAlign w:val="center"/>
          </w:tcPr>
          <w:p w14:paraId="3BAA8361">
            <w:pPr>
              <w:widowControl w:val="0"/>
              <w:spacing w:after="0" w:line="220" w:lineRule="atLeast"/>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实施部门</w:t>
            </w:r>
          </w:p>
        </w:tc>
        <w:tc>
          <w:tcPr>
            <w:tcW w:w="1189" w:type="dxa"/>
            <w:vAlign w:val="center"/>
          </w:tcPr>
          <w:p w14:paraId="5E910EC6">
            <w:pPr>
              <w:widowControl w:val="0"/>
              <w:spacing w:after="0" w:line="220" w:lineRule="atLeast"/>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监测方法</w:t>
            </w:r>
          </w:p>
        </w:tc>
        <w:tc>
          <w:tcPr>
            <w:tcW w:w="2378" w:type="dxa"/>
            <w:vAlign w:val="center"/>
          </w:tcPr>
          <w:p w14:paraId="78AEA06D">
            <w:pPr>
              <w:widowControl w:val="0"/>
              <w:spacing w:after="0" w:line="220" w:lineRule="atLeast"/>
              <w:jc w:val="center"/>
              <w:rPr>
                <w:rFonts w:asciiTheme="majorEastAsia" w:hAnsiTheme="majorEastAsia" w:eastAsiaTheme="majorEastAsia"/>
                <w:b/>
                <w:sz w:val="21"/>
                <w:szCs w:val="21"/>
              </w:rPr>
            </w:pPr>
          </w:p>
          <w:p w14:paraId="5F565F70">
            <w:pPr>
              <w:widowControl w:val="0"/>
              <w:spacing w:after="0" w:line="220" w:lineRule="atLeast"/>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有效性评价标准化</w:t>
            </w:r>
          </w:p>
          <w:p w14:paraId="1F4F09FC">
            <w:pPr>
              <w:widowControl w:val="0"/>
              <w:spacing w:after="0" w:line="220" w:lineRule="atLeast"/>
              <w:jc w:val="center"/>
              <w:rPr>
                <w:rFonts w:asciiTheme="majorEastAsia" w:hAnsiTheme="majorEastAsia" w:eastAsiaTheme="majorEastAsia"/>
                <w:b/>
                <w:sz w:val="21"/>
                <w:szCs w:val="21"/>
              </w:rPr>
            </w:pPr>
          </w:p>
        </w:tc>
      </w:tr>
      <w:tr w14:paraId="1083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vAlign w:val="center"/>
          </w:tcPr>
          <w:p w14:paraId="12EC4352">
            <w:pPr>
              <w:widowControl w:val="0"/>
              <w:spacing w:after="0" w:line="220" w:lineRule="atLeast"/>
              <w:ind w:firstLine="525" w:firstLineChars="250"/>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顾 客</w:t>
            </w:r>
          </w:p>
        </w:tc>
        <w:tc>
          <w:tcPr>
            <w:tcW w:w="2860" w:type="dxa"/>
            <w:vAlign w:val="center"/>
          </w:tcPr>
          <w:p w14:paraId="637844DE">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需要公司提供符合质量要求的产品，期望双方发展成为成功的战略合作伙伴</w:t>
            </w:r>
          </w:p>
        </w:tc>
        <w:tc>
          <w:tcPr>
            <w:tcW w:w="5740" w:type="dxa"/>
            <w:vAlign w:val="center"/>
          </w:tcPr>
          <w:p w14:paraId="609FCDAB">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1市场部与客户就建立质量管理体系等要求进行交流</w:t>
            </w:r>
          </w:p>
          <w:p w14:paraId="0663F695">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 客户质量要求及时告知各部门主管予以实现</w:t>
            </w:r>
          </w:p>
          <w:p w14:paraId="0F8E0B8C">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 及时收集顾客对工程的相关要求；</w:t>
            </w:r>
          </w:p>
          <w:p w14:paraId="1D40367C">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4满足 顾客提出的工程质量要求和法规要求</w:t>
            </w:r>
          </w:p>
        </w:tc>
        <w:tc>
          <w:tcPr>
            <w:tcW w:w="1189" w:type="dxa"/>
            <w:vAlign w:val="center"/>
          </w:tcPr>
          <w:p w14:paraId="2B77ACDD">
            <w:pPr>
              <w:widowControl w:val="0"/>
              <w:spacing w:after="0" w:line="220" w:lineRule="atLeast"/>
              <w:jc w:val="center"/>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生产部</w:t>
            </w:r>
            <w:r>
              <w:rPr>
                <w:rFonts w:hint="eastAsia" w:asciiTheme="majorEastAsia" w:hAnsiTheme="majorEastAsia" w:eastAsiaTheme="majorEastAsia" w:cstheme="majorEastAsia"/>
                <w:sz w:val="21"/>
                <w:szCs w:val="21"/>
                <w:lang w:eastAsia="zh-CN"/>
              </w:rPr>
              <w:t>、</w:t>
            </w:r>
          </w:p>
          <w:p w14:paraId="4EE59465">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市场部</w:t>
            </w:r>
          </w:p>
          <w:p w14:paraId="13888261">
            <w:pPr>
              <w:widowControl w:val="0"/>
              <w:spacing w:after="0" w:line="220" w:lineRule="atLeast"/>
              <w:jc w:val="center"/>
              <w:rPr>
                <w:rFonts w:asciiTheme="majorEastAsia" w:hAnsiTheme="majorEastAsia" w:eastAsiaTheme="majorEastAsia" w:cstheme="majorEastAsia"/>
                <w:sz w:val="21"/>
                <w:szCs w:val="21"/>
              </w:rPr>
            </w:pPr>
          </w:p>
        </w:tc>
        <w:tc>
          <w:tcPr>
            <w:tcW w:w="1189" w:type="dxa"/>
            <w:vAlign w:val="center"/>
          </w:tcPr>
          <w:p w14:paraId="34A4DEE4">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顾客审核</w:t>
            </w:r>
          </w:p>
          <w:p w14:paraId="218508B6">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进度检查</w:t>
            </w:r>
          </w:p>
          <w:p w14:paraId="2C17FA18">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内审</w:t>
            </w:r>
          </w:p>
        </w:tc>
        <w:tc>
          <w:tcPr>
            <w:tcW w:w="2378" w:type="dxa"/>
            <w:vAlign w:val="center"/>
          </w:tcPr>
          <w:p w14:paraId="7FD88001">
            <w:pPr>
              <w:widowControl w:val="0"/>
              <w:spacing w:after="0" w:line="220" w:lineRule="atLeast"/>
              <w:ind w:firstLine="105" w:firstLineChars="50"/>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符合顾客质量要求</w:t>
            </w:r>
          </w:p>
        </w:tc>
      </w:tr>
      <w:tr w14:paraId="52BC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vAlign w:val="center"/>
          </w:tcPr>
          <w:p w14:paraId="67B4FB95">
            <w:pPr>
              <w:widowControl w:val="0"/>
              <w:spacing w:after="0" w:line="220" w:lineRule="atLeast"/>
              <w:ind w:firstLine="210" w:firstLineChars="100"/>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外部供方</w:t>
            </w:r>
          </w:p>
        </w:tc>
        <w:tc>
          <w:tcPr>
            <w:tcW w:w="2860" w:type="dxa"/>
            <w:vAlign w:val="center"/>
          </w:tcPr>
          <w:p w14:paraId="64E91A47">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期望公司质量绩效的提升，获得更多的、继续合作经营的机会；双方联系沟通顺畅，共享价值和信息</w:t>
            </w:r>
          </w:p>
        </w:tc>
        <w:tc>
          <w:tcPr>
            <w:tcW w:w="5740" w:type="dxa"/>
            <w:vAlign w:val="center"/>
          </w:tcPr>
          <w:p w14:paraId="001774EE">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7确定办公室与供方就建立质量管理体系等要求进行交流</w:t>
            </w:r>
          </w:p>
          <w:p w14:paraId="3818FECF">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8公司质量理要求及时告知供方，予以实现</w:t>
            </w:r>
          </w:p>
          <w:p w14:paraId="60D8378C">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9材料包装回收满足供方要求</w:t>
            </w:r>
          </w:p>
          <w:p w14:paraId="733323A5">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10满足供方提出的保护质量要求和法规要求</w:t>
            </w:r>
          </w:p>
        </w:tc>
        <w:tc>
          <w:tcPr>
            <w:tcW w:w="1189" w:type="dxa"/>
            <w:vAlign w:val="center"/>
          </w:tcPr>
          <w:p w14:paraId="2D594B01">
            <w:pPr>
              <w:widowControl w:val="0"/>
              <w:spacing w:after="0" w:line="220" w:lineRule="atLeast"/>
              <w:jc w:val="center"/>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办公室、</w:t>
            </w:r>
            <w:r>
              <w:rPr>
                <w:rFonts w:hint="eastAsia" w:asciiTheme="majorEastAsia" w:hAnsiTheme="majorEastAsia" w:eastAsiaTheme="majorEastAsia" w:cstheme="majorEastAsia"/>
                <w:sz w:val="21"/>
                <w:szCs w:val="21"/>
                <w:lang w:val="en-US" w:eastAsia="zh-CN"/>
              </w:rPr>
              <w:t>市场部</w:t>
            </w:r>
          </w:p>
        </w:tc>
        <w:tc>
          <w:tcPr>
            <w:tcW w:w="1189" w:type="dxa"/>
            <w:vAlign w:val="center"/>
          </w:tcPr>
          <w:p w14:paraId="123D46E5">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巡检内审</w:t>
            </w:r>
          </w:p>
          <w:p w14:paraId="3D844BF9">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进货验证</w:t>
            </w:r>
          </w:p>
          <w:p w14:paraId="6A1CCDD8">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管理评审</w:t>
            </w:r>
          </w:p>
        </w:tc>
        <w:tc>
          <w:tcPr>
            <w:tcW w:w="2378" w:type="dxa"/>
            <w:vAlign w:val="center"/>
          </w:tcPr>
          <w:p w14:paraId="1F825F96">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获得更多的、继续合作经营的机会</w:t>
            </w:r>
          </w:p>
          <w:p w14:paraId="192F8227">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《外包过程控制程序》</w:t>
            </w:r>
          </w:p>
        </w:tc>
      </w:tr>
      <w:tr w14:paraId="2E45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vAlign w:val="center"/>
          </w:tcPr>
          <w:p w14:paraId="65959C64">
            <w:pPr>
              <w:widowControl w:val="0"/>
              <w:spacing w:after="0"/>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质量监管部门</w:t>
            </w:r>
          </w:p>
          <w:p w14:paraId="600791F2">
            <w:pPr>
              <w:widowControl w:val="0"/>
              <w:spacing w:after="0" w:line="220" w:lineRule="atLeast"/>
              <w:jc w:val="center"/>
              <w:rPr>
                <w:rFonts w:asciiTheme="majorEastAsia" w:hAnsiTheme="majorEastAsia" w:eastAsiaTheme="majorEastAsia" w:cstheme="majorEastAsia"/>
                <w:sz w:val="21"/>
                <w:szCs w:val="21"/>
              </w:rPr>
            </w:pPr>
          </w:p>
        </w:tc>
        <w:tc>
          <w:tcPr>
            <w:tcW w:w="2860" w:type="dxa"/>
            <w:vAlign w:val="center"/>
          </w:tcPr>
          <w:p w14:paraId="6DFA04D8">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公司依法进行生产经营活动和保障产品质量，并产生积极的社会影响</w:t>
            </w:r>
          </w:p>
        </w:tc>
        <w:tc>
          <w:tcPr>
            <w:tcW w:w="5740" w:type="dxa"/>
            <w:vAlign w:val="center"/>
          </w:tcPr>
          <w:p w14:paraId="5055947F">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11符合质量监管部门提出的工程质量要求和法规要求</w:t>
            </w:r>
          </w:p>
          <w:p w14:paraId="32D66922">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12申请质量检测部门对公司生产质量进行监测</w:t>
            </w:r>
          </w:p>
        </w:tc>
        <w:tc>
          <w:tcPr>
            <w:tcW w:w="1189" w:type="dxa"/>
            <w:vAlign w:val="center"/>
          </w:tcPr>
          <w:p w14:paraId="6D6654B1">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生产部、技术部</w:t>
            </w:r>
          </w:p>
          <w:p w14:paraId="29149E2C">
            <w:pPr>
              <w:widowControl w:val="0"/>
              <w:spacing w:after="0" w:line="220" w:lineRule="atLeast"/>
              <w:jc w:val="center"/>
              <w:rPr>
                <w:rFonts w:asciiTheme="majorEastAsia" w:hAnsiTheme="majorEastAsia" w:eastAsiaTheme="majorEastAsia" w:cstheme="majorEastAsia"/>
                <w:sz w:val="21"/>
                <w:szCs w:val="21"/>
              </w:rPr>
            </w:pPr>
          </w:p>
        </w:tc>
        <w:tc>
          <w:tcPr>
            <w:tcW w:w="1189" w:type="dxa"/>
            <w:vAlign w:val="center"/>
          </w:tcPr>
          <w:p w14:paraId="56C7EFF6">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内审</w:t>
            </w:r>
          </w:p>
          <w:p w14:paraId="55E44C3D">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管理评审</w:t>
            </w:r>
          </w:p>
        </w:tc>
        <w:tc>
          <w:tcPr>
            <w:tcW w:w="2378" w:type="dxa"/>
            <w:vAlign w:val="center"/>
          </w:tcPr>
          <w:p w14:paraId="69094F97">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渠道畅通，问题及时处理</w:t>
            </w:r>
          </w:p>
        </w:tc>
      </w:tr>
      <w:tr w14:paraId="7CC3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430" w:type="dxa"/>
            <w:vAlign w:val="center"/>
          </w:tcPr>
          <w:p w14:paraId="2F06D490">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政府</w:t>
            </w:r>
          </w:p>
        </w:tc>
        <w:tc>
          <w:tcPr>
            <w:tcW w:w="2860" w:type="dxa"/>
            <w:vAlign w:val="center"/>
          </w:tcPr>
          <w:p w14:paraId="6A746C97">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承担起更多的社会责任，为区域做出环境贡献</w:t>
            </w:r>
          </w:p>
        </w:tc>
        <w:tc>
          <w:tcPr>
            <w:tcW w:w="5740" w:type="dxa"/>
            <w:vAlign w:val="center"/>
          </w:tcPr>
          <w:p w14:paraId="749F0B8F">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13符合北京市提出的相关质量要求和法规要求 </w:t>
            </w:r>
          </w:p>
          <w:p w14:paraId="17BFBB25">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14确定办公室与政府部门就建立质量管理体系等要求进行交流</w:t>
            </w:r>
          </w:p>
          <w:p w14:paraId="50C54880">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15公司质量管理要求及时告知管委会，予以实现</w:t>
            </w:r>
          </w:p>
        </w:tc>
        <w:tc>
          <w:tcPr>
            <w:tcW w:w="1189" w:type="dxa"/>
            <w:vAlign w:val="center"/>
          </w:tcPr>
          <w:p w14:paraId="254FCDD4">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办公室</w:t>
            </w:r>
          </w:p>
          <w:p w14:paraId="0E47DDB5">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领导层</w:t>
            </w:r>
          </w:p>
        </w:tc>
        <w:tc>
          <w:tcPr>
            <w:tcW w:w="1189" w:type="dxa"/>
            <w:vAlign w:val="center"/>
          </w:tcPr>
          <w:p w14:paraId="5DC90F33">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内审</w:t>
            </w:r>
          </w:p>
          <w:p w14:paraId="6A03EF27">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管理评审</w:t>
            </w:r>
          </w:p>
        </w:tc>
        <w:tc>
          <w:tcPr>
            <w:tcW w:w="2378" w:type="dxa"/>
            <w:vAlign w:val="center"/>
          </w:tcPr>
          <w:p w14:paraId="399F63C1">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渠道畅通,问题及时处理</w:t>
            </w:r>
          </w:p>
        </w:tc>
      </w:tr>
      <w:tr w14:paraId="72F4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430" w:type="dxa"/>
            <w:vAlign w:val="center"/>
          </w:tcPr>
          <w:p w14:paraId="476453B4">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认证中心</w:t>
            </w:r>
          </w:p>
        </w:tc>
        <w:tc>
          <w:tcPr>
            <w:tcW w:w="2860" w:type="dxa"/>
            <w:vAlign w:val="center"/>
          </w:tcPr>
          <w:p w14:paraId="3E251A1B">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保持环境管理体系有效运行，改善环境绩效，继续合作，共同发展</w:t>
            </w:r>
          </w:p>
        </w:tc>
        <w:tc>
          <w:tcPr>
            <w:tcW w:w="5740" w:type="dxa"/>
            <w:vAlign w:val="center"/>
          </w:tcPr>
          <w:p w14:paraId="418609BF">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16符合认证中心提出的双方合作要求和法规要求 </w:t>
            </w:r>
          </w:p>
          <w:p w14:paraId="2BBE907A">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17确定办公室与认证中心就建立质量管理体系等要求进行交流</w:t>
            </w:r>
          </w:p>
        </w:tc>
        <w:tc>
          <w:tcPr>
            <w:tcW w:w="1189" w:type="dxa"/>
            <w:vAlign w:val="center"/>
          </w:tcPr>
          <w:p w14:paraId="57D43A57">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办公室</w:t>
            </w:r>
          </w:p>
          <w:p w14:paraId="1CA5B783">
            <w:pPr>
              <w:widowControl w:val="0"/>
              <w:spacing w:after="0" w:line="220" w:lineRule="atLeast"/>
              <w:jc w:val="center"/>
              <w:rPr>
                <w:rFonts w:asciiTheme="majorEastAsia" w:hAnsiTheme="majorEastAsia" w:eastAsiaTheme="majorEastAsia" w:cstheme="majorEastAsia"/>
                <w:sz w:val="21"/>
                <w:szCs w:val="21"/>
              </w:rPr>
            </w:pPr>
          </w:p>
        </w:tc>
        <w:tc>
          <w:tcPr>
            <w:tcW w:w="1189" w:type="dxa"/>
            <w:vAlign w:val="center"/>
          </w:tcPr>
          <w:p w14:paraId="7ACC67EB">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内审</w:t>
            </w:r>
          </w:p>
          <w:p w14:paraId="2310960B">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管理评审</w:t>
            </w:r>
          </w:p>
        </w:tc>
        <w:tc>
          <w:tcPr>
            <w:tcW w:w="2378" w:type="dxa"/>
            <w:vAlign w:val="center"/>
          </w:tcPr>
          <w:p w14:paraId="31BE3B81">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渠道畅通,及时取得证书</w:t>
            </w:r>
          </w:p>
        </w:tc>
      </w:tr>
      <w:tr w14:paraId="04A9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1430" w:type="dxa"/>
            <w:vAlign w:val="center"/>
          </w:tcPr>
          <w:p w14:paraId="0C18C2C3">
            <w:pPr>
              <w:widowControl w:val="0"/>
              <w:spacing w:after="0"/>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员工</w:t>
            </w:r>
          </w:p>
          <w:p w14:paraId="1EE55529">
            <w:pPr>
              <w:widowControl w:val="0"/>
              <w:spacing w:after="0" w:line="220" w:lineRule="atLeast"/>
              <w:jc w:val="center"/>
              <w:rPr>
                <w:rFonts w:asciiTheme="majorEastAsia" w:hAnsiTheme="majorEastAsia" w:eastAsiaTheme="majorEastAsia" w:cstheme="majorEastAsia"/>
                <w:sz w:val="21"/>
                <w:szCs w:val="21"/>
              </w:rPr>
            </w:pPr>
          </w:p>
        </w:tc>
        <w:tc>
          <w:tcPr>
            <w:tcW w:w="2860" w:type="dxa"/>
            <w:vAlign w:val="center"/>
          </w:tcPr>
          <w:p w14:paraId="05B87ECC">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通过质量绩效的提升，获得等多的订单，增加个人收入，不断改善工作和生活条件</w:t>
            </w:r>
          </w:p>
        </w:tc>
        <w:tc>
          <w:tcPr>
            <w:tcW w:w="5740" w:type="dxa"/>
            <w:vAlign w:val="center"/>
          </w:tcPr>
          <w:p w14:paraId="17A49626">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18告知公司确定的质量管理体系运行要求和法规要求</w:t>
            </w:r>
          </w:p>
          <w:p w14:paraId="0AD5A6F1">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19现场推行文明生产管理、绿色工地活动，改善员工生产作业条件</w:t>
            </w:r>
          </w:p>
          <w:p w14:paraId="5280DEA2">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20进行质量意识教育，树立全员参与质量管理工作</w:t>
            </w:r>
          </w:p>
          <w:p w14:paraId="416496AB">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21满足员工工程质量要求和法规要求</w:t>
            </w:r>
          </w:p>
        </w:tc>
        <w:tc>
          <w:tcPr>
            <w:tcW w:w="1189" w:type="dxa"/>
            <w:vAlign w:val="center"/>
          </w:tcPr>
          <w:p w14:paraId="6A518C88">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各部门</w:t>
            </w:r>
          </w:p>
        </w:tc>
        <w:tc>
          <w:tcPr>
            <w:tcW w:w="1189" w:type="dxa"/>
            <w:vAlign w:val="center"/>
          </w:tcPr>
          <w:p w14:paraId="0D877146">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内审</w:t>
            </w:r>
          </w:p>
          <w:p w14:paraId="471B49F8">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管理评审</w:t>
            </w:r>
          </w:p>
        </w:tc>
        <w:tc>
          <w:tcPr>
            <w:tcW w:w="2378" w:type="dxa"/>
            <w:vAlign w:val="center"/>
          </w:tcPr>
          <w:p w14:paraId="23214ED7">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渠道畅通,问题及时处理</w:t>
            </w:r>
          </w:p>
        </w:tc>
      </w:tr>
      <w:tr w14:paraId="6161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vAlign w:val="center"/>
          </w:tcPr>
          <w:p w14:paraId="4DCFEB41">
            <w:pPr>
              <w:widowControl w:val="0"/>
              <w:spacing w:after="0"/>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社会</w:t>
            </w:r>
          </w:p>
          <w:p w14:paraId="013D933D">
            <w:pPr>
              <w:widowControl w:val="0"/>
              <w:spacing w:after="0"/>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利益关注者</w:t>
            </w:r>
          </w:p>
        </w:tc>
        <w:tc>
          <w:tcPr>
            <w:tcW w:w="2860" w:type="dxa"/>
            <w:vAlign w:val="center"/>
          </w:tcPr>
          <w:p w14:paraId="34DB7371">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主动承担产品质量的社会责任，通过提升企业质量绩效而带来满意的社会服务和关注</w:t>
            </w:r>
          </w:p>
        </w:tc>
        <w:tc>
          <w:tcPr>
            <w:tcW w:w="5740" w:type="dxa"/>
            <w:vAlign w:val="center"/>
          </w:tcPr>
          <w:p w14:paraId="1CABFDB9">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22履行工程质量的社会责任，满足社会提出的质量要求和法规要求</w:t>
            </w:r>
          </w:p>
          <w:p w14:paraId="1B71A686">
            <w:pPr>
              <w:widowControl w:val="0"/>
              <w:spacing w:after="0" w:line="360" w:lineRule="auto"/>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23动员全体员工持续改进企业质量绩效，建立环境友好型和资源节约型企业</w:t>
            </w:r>
          </w:p>
          <w:p w14:paraId="14135695">
            <w:pPr>
              <w:widowControl w:val="0"/>
              <w:spacing w:after="0" w:line="360" w:lineRule="auto"/>
              <w:jc w:val="both"/>
              <w:rPr>
                <w:rFonts w:asciiTheme="majorEastAsia" w:hAnsiTheme="majorEastAsia" w:eastAsiaTheme="majorEastAsia" w:cstheme="majorEastAsia"/>
                <w:sz w:val="21"/>
                <w:szCs w:val="21"/>
              </w:rPr>
            </w:pPr>
          </w:p>
        </w:tc>
        <w:tc>
          <w:tcPr>
            <w:tcW w:w="1189" w:type="dxa"/>
            <w:vAlign w:val="center"/>
          </w:tcPr>
          <w:p w14:paraId="70172568">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各部门</w:t>
            </w:r>
          </w:p>
        </w:tc>
        <w:tc>
          <w:tcPr>
            <w:tcW w:w="1189" w:type="dxa"/>
            <w:vAlign w:val="center"/>
          </w:tcPr>
          <w:p w14:paraId="2FF58292">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内审</w:t>
            </w:r>
          </w:p>
          <w:p w14:paraId="21BD787B">
            <w:pPr>
              <w:widowControl w:val="0"/>
              <w:spacing w:after="0" w:line="220" w:lineRule="atLeast"/>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管理评审</w:t>
            </w:r>
          </w:p>
        </w:tc>
        <w:tc>
          <w:tcPr>
            <w:tcW w:w="2378" w:type="dxa"/>
            <w:vAlign w:val="center"/>
          </w:tcPr>
          <w:p w14:paraId="28C3F4E4">
            <w:pPr>
              <w:widowControl w:val="0"/>
              <w:spacing w:after="0" w:line="220" w:lineRule="atLeast"/>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渠道畅通,问题及时处理</w:t>
            </w:r>
          </w:p>
        </w:tc>
      </w:tr>
      <w:tr w14:paraId="1598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vAlign w:val="center"/>
          </w:tcPr>
          <w:p w14:paraId="7431936F">
            <w:pPr>
              <w:widowControl w:val="0"/>
              <w:spacing w:after="0"/>
              <w:jc w:val="both"/>
              <w:rPr>
                <w:rFonts w:asciiTheme="majorEastAsia" w:hAnsiTheme="majorEastAsia" w:eastAsiaTheme="majorEastAsia" w:cstheme="majorEastAsia"/>
                <w:sz w:val="21"/>
                <w:szCs w:val="21"/>
              </w:rPr>
            </w:pPr>
          </w:p>
        </w:tc>
        <w:tc>
          <w:tcPr>
            <w:tcW w:w="2860" w:type="dxa"/>
            <w:vAlign w:val="center"/>
          </w:tcPr>
          <w:p w14:paraId="27EC2F12">
            <w:pPr>
              <w:widowControl w:val="0"/>
              <w:spacing w:after="0" w:line="220" w:lineRule="atLeast"/>
              <w:jc w:val="both"/>
              <w:rPr>
                <w:rFonts w:asciiTheme="majorEastAsia" w:hAnsiTheme="majorEastAsia" w:eastAsiaTheme="majorEastAsia" w:cstheme="majorEastAsia"/>
                <w:sz w:val="21"/>
                <w:szCs w:val="21"/>
              </w:rPr>
            </w:pPr>
          </w:p>
        </w:tc>
        <w:tc>
          <w:tcPr>
            <w:tcW w:w="5740" w:type="dxa"/>
            <w:vAlign w:val="center"/>
          </w:tcPr>
          <w:p w14:paraId="63201890">
            <w:pPr>
              <w:widowControl w:val="0"/>
              <w:spacing w:after="0" w:line="220" w:lineRule="atLeast"/>
              <w:jc w:val="both"/>
              <w:rPr>
                <w:rFonts w:asciiTheme="majorEastAsia" w:hAnsiTheme="majorEastAsia" w:eastAsiaTheme="majorEastAsia" w:cstheme="majorEastAsia"/>
                <w:sz w:val="21"/>
                <w:szCs w:val="21"/>
              </w:rPr>
            </w:pPr>
          </w:p>
        </w:tc>
        <w:tc>
          <w:tcPr>
            <w:tcW w:w="1189" w:type="dxa"/>
            <w:vAlign w:val="center"/>
          </w:tcPr>
          <w:p w14:paraId="3E39DFF5">
            <w:pPr>
              <w:widowControl w:val="0"/>
              <w:spacing w:after="0" w:line="220" w:lineRule="atLeast"/>
              <w:jc w:val="center"/>
              <w:rPr>
                <w:rFonts w:asciiTheme="majorEastAsia" w:hAnsiTheme="majorEastAsia" w:eastAsiaTheme="majorEastAsia" w:cstheme="majorEastAsia"/>
                <w:sz w:val="21"/>
                <w:szCs w:val="21"/>
              </w:rPr>
            </w:pPr>
          </w:p>
        </w:tc>
        <w:tc>
          <w:tcPr>
            <w:tcW w:w="1189" w:type="dxa"/>
            <w:vAlign w:val="center"/>
          </w:tcPr>
          <w:p w14:paraId="7745AF93">
            <w:pPr>
              <w:widowControl w:val="0"/>
              <w:spacing w:after="0" w:line="220" w:lineRule="atLeast"/>
              <w:jc w:val="center"/>
              <w:rPr>
                <w:rFonts w:asciiTheme="majorEastAsia" w:hAnsiTheme="majorEastAsia" w:eastAsiaTheme="majorEastAsia" w:cstheme="majorEastAsia"/>
                <w:sz w:val="21"/>
                <w:szCs w:val="21"/>
              </w:rPr>
            </w:pPr>
          </w:p>
        </w:tc>
        <w:tc>
          <w:tcPr>
            <w:tcW w:w="2378" w:type="dxa"/>
            <w:vAlign w:val="center"/>
          </w:tcPr>
          <w:p w14:paraId="43DE1FF0">
            <w:pPr>
              <w:widowControl w:val="0"/>
              <w:spacing w:after="0" w:line="220" w:lineRule="atLeast"/>
              <w:jc w:val="both"/>
              <w:rPr>
                <w:rFonts w:asciiTheme="majorEastAsia" w:hAnsiTheme="majorEastAsia" w:eastAsiaTheme="majorEastAsia" w:cstheme="majorEastAsia"/>
                <w:sz w:val="21"/>
                <w:szCs w:val="21"/>
              </w:rPr>
            </w:pPr>
          </w:p>
        </w:tc>
      </w:tr>
    </w:tbl>
    <w:p w14:paraId="2A59CC7C">
      <w:pPr>
        <w:spacing w:after="0"/>
        <w:ind w:firstLine="425"/>
        <w:rPr>
          <w:rFonts w:asciiTheme="majorEastAsia" w:hAnsiTheme="majorEastAsia" w:eastAsiaTheme="majorEastAsia"/>
          <w:b/>
          <w:bCs/>
        </w:rPr>
      </w:pPr>
    </w:p>
    <w:p w14:paraId="20230EE2">
      <w:pPr>
        <w:spacing w:after="0"/>
        <w:ind w:firstLine="425"/>
        <w:rPr>
          <w:rFonts w:asciiTheme="majorEastAsia" w:hAnsiTheme="majorEastAsia" w:eastAsiaTheme="majorEastAsia"/>
        </w:rPr>
        <w:sectPr>
          <w:pgSz w:w="16838" w:h="11906" w:orient="landscape"/>
          <w:pgMar w:top="1134" w:right="1134" w:bottom="1134" w:left="1134" w:header="709" w:footer="709" w:gutter="0"/>
          <w:cols w:space="0" w:num="1"/>
          <w:docGrid w:linePitch="360" w:charSpace="0"/>
        </w:sectPr>
      </w:pPr>
      <w:r>
        <w:rPr>
          <w:rFonts w:hint="eastAsia" w:asciiTheme="majorEastAsia" w:hAnsiTheme="majorEastAsia" w:eastAsiaTheme="majorEastAsia"/>
          <w:b/>
          <w:bCs/>
        </w:rPr>
        <w:t xml:space="preserve">  </w:t>
      </w:r>
      <w:r>
        <w:rPr>
          <w:rFonts w:hint="eastAsia" w:asciiTheme="majorEastAsia" w:hAnsiTheme="majorEastAsia" w:eastAsiaTheme="majorEastAsia"/>
          <w:sz w:val="24"/>
        </w:rPr>
        <w:t xml:space="preserve"> </w:t>
      </w:r>
      <w:r>
        <w:rPr>
          <w:rFonts w:hint="eastAsia" w:asciiTheme="majorEastAsia" w:hAnsiTheme="majorEastAsia" w:eastAsiaTheme="majorEastAsia"/>
          <w:b/>
          <w:bCs/>
        </w:rPr>
        <w:t xml:space="preserve"> </w:t>
      </w:r>
    </w:p>
    <w:p w14:paraId="69CA01A1">
      <w:pPr>
        <w:spacing w:line="220" w:lineRule="atLeast"/>
        <w:ind w:firstLine="4658" w:firstLineChars="1450"/>
        <w:rPr>
          <w:rFonts w:asciiTheme="majorEastAsia" w:hAnsiTheme="majorEastAsia" w:eastAsiaTheme="majorEastAsia"/>
          <w:b/>
          <w:sz w:val="32"/>
          <w:szCs w:val="32"/>
        </w:rPr>
      </w:pPr>
      <w:r>
        <w:rPr>
          <w:rFonts w:hint="eastAsia" w:asciiTheme="majorEastAsia" w:hAnsiTheme="majorEastAsia" w:eastAsiaTheme="majorEastAsia"/>
          <w:b/>
          <w:sz w:val="32"/>
          <w:szCs w:val="32"/>
        </w:rPr>
        <w:t>应对重要风险和机遇措施实施计划</w:t>
      </w:r>
    </w:p>
    <w:p w14:paraId="4551B9DE">
      <w:pPr>
        <w:spacing w:line="220" w:lineRule="atLeas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32"/>
          <w:szCs w:val="32"/>
        </w:rPr>
        <w:t>编号：JL-</w:t>
      </w:r>
      <w:r>
        <w:rPr>
          <w:rFonts w:hint="eastAsia" w:asciiTheme="majorEastAsia" w:hAnsiTheme="majorEastAsia" w:eastAsiaTheme="majorEastAsia"/>
          <w:b/>
          <w:sz w:val="32"/>
          <w:szCs w:val="32"/>
          <w:lang w:val="en-US" w:eastAsia="zh-CN"/>
        </w:rPr>
        <w:t>23</w:t>
      </w:r>
    </w:p>
    <w:tbl>
      <w:tblPr>
        <w:tblStyle w:val="8"/>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869"/>
        <w:gridCol w:w="2073"/>
        <w:gridCol w:w="1558"/>
        <w:gridCol w:w="5187"/>
        <w:gridCol w:w="1168"/>
        <w:gridCol w:w="903"/>
        <w:gridCol w:w="2339"/>
      </w:tblGrid>
      <w:tr w14:paraId="1C88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14:paraId="5C99546C">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标准</w:t>
            </w:r>
          </w:p>
          <w:p w14:paraId="39942C77">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条款</w:t>
            </w:r>
          </w:p>
        </w:tc>
        <w:tc>
          <w:tcPr>
            <w:tcW w:w="869" w:type="dxa"/>
            <w:vAlign w:val="center"/>
          </w:tcPr>
          <w:p w14:paraId="57B2A29B">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生命</w:t>
            </w:r>
          </w:p>
          <w:p w14:paraId="58E56A3D">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周期</w:t>
            </w:r>
          </w:p>
        </w:tc>
        <w:tc>
          <w:tcPr>
            <w:tcW w:w="2073" w:type="dxa"/>
            <w:vAlign w:val="center"/>
          </w:tcPr>
          <w:p w14:paraId="10197C15">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风险和机遇描述</w:t>
            </w:r>
          </w:p>
        </w:tc>
        <w:tc>
          <w:tcPr>
            <w:tcW w:w="1558" w:type="dxa"/>
            <w:vAlign w:val="center"/>
          </w:tcPr>
          <w:p w14:paraId="41AA98F7">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产生的要因</w:t>
            </w:r>
          </w:p>
        </w:tc>
        <w:tc>
          <w:tcPr>
            <w:tcW w:w="5187" w:type="dxa"/>
            <w:vAlign w:val="center"/>
          </w:tcPr>
          <w:p w14:paraId="43BF8C21">
            <w:pPr>
              <w:widowControl w:val="0"/>
              <w:spacing w:after="0" w:line="220" w:lineRule="atLeast"/>
              <w:ind w:firstLine="90" w:firstLineChars="50"/>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对 策 措 施</w:t>
            </w:r>
          </w:p>
        </w:tc>
        <w:tc>
          <w:tcPr>
            <w:tcW w:w="1168" w:type="dxa"/>
            <w:vAlign w:val="center"/>
          </w:tcPr>
          <w:p w14:paraId="62E20265">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过 程 监 测</w:t>
            </w:r>
          </w:p>
        </w:tc>
        <w:tc>
          <w:tcPr>
            <w:tcW w:w="903" w:type="dxa"/>
            <w:vAlign w:val="center"/>
          </w:tcPr>
          <w:p w14:paraId="0BC8BD16">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主 控</w:t>
            </w:r>
          </w:p>
        </w:tc>
        <w:tc>
          <w:tcPr>
            <w:tcW w:w="2339" w:type="dxa"/>
            <w:vAlign w:val="center"/>
          </w:tcPr>
          <w:p w14:paraId="4D0D4F47">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有效性评价</w:t>
            </w:r>
          </w:p>
          <w:p w14:paraId="53742E85">
            <w:pPr>
              <w:widowControl w:val="0"/>
              <w:spacing w:after="0" w:line="220" w:lineRule="atLeast"/>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标准化</w:t>
            </w:r>
          </w:p>
        </w:tc>
      </w:tr>
      <w:tr w14:paraId="55F2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711066F2">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4.1</w:t>
            </w:r>
          </w:p>
          <w:p w14:paraId="708FCF5C">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4.2</w:t>
            </w:r>
          </w:p>
          <w:p w14:paraId="1758CEAE">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4.3</w:t>
            </w:r>
          </w:p>
        </w:tc>
        <w:tc>
          <w:tcPr>
            <w:tcW w:w="869" w:type="dxa"/>
            <w:vAlign w:val="center"/>
          </w:tcPr>
          <w:p w14:paraId="7CEA7574">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投标服务</w:t>
            </w:r>
          </w:p>
        </w:tc>
        <w:tc>
          <w:tcPr>
            <w:tcW w:w="2073" w:type="dxa"/>
            <w:vAlign w:val="center"/>
          </w:tcPr>
          <w:p w14:paraId="0854EE27">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与客户相关部门沟通不足，影响订单</w:t>
            </w:r>
          </w:p>
        </w:tc>
        <w:tc>
          <w:tcPr>
            <w:tcW w:w="1558" w:type="dxa"/>
            <w:vAlign w:val="center"/>
          </w:tcPr>
          <w:p w14:paraId="228FE5B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对质量重视程度不够</w:t>
            </w:r>
          </w:p>
        </w:tc>
        <w:tc>
          <w:tcPr>
            <w:tcW w:w="5187" w:type="dxa"/>
            <w:vAlign w:val="center"/>
          </w:tcPr>
          <w:p w14:paraId="4D3C2B9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1市场部与客户就建立体系等要求进行交流（A）</w:t>
            </w:r>
          </w:p>
          <w:p w14:paraId="6B3C771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 客户质量要求及时告知各部门主管予以实现(B)</w:t>
            </w:r>
          </w:p>
        </w:tc>
        <w:tc>
          <w:tcPr>
            <w:tcW w:w="1168" w:type="dxa"/>
            <w:vAlign w:val="center"/>
          </w:tcPr>
          <w:p w14:paraId="578749FF">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顾客审核</w:t>
            </w:r>
          </w:p>
          <w:p w14:paraId="02ECF7F8">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进度检查</w:t>
            </w:r>
          </w:p>
          <w:p w14:paraId="5D27A1B6">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tc>
        <w:tc>
          <w:tcPr>
            <w:tcW w:w="903" w:type="dxa"/>
            <w:vAlign w:val="center"/>
          </w:tcPr>
          <w:p w14:paraId="4CFE0357">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市场部</w:t>
            </w:r>
          </w:p>
        </w:tc>
        <w:tc>
          <w:tcPr>
            <w:tcW w:w="2339" w:type="dxa"/>
            <w:vAlign w:val="center"/>
          </w:tcPr>
          <w:p w14:paraId="14185B2F">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符合顾客环保要求。</w:t>
            </w:r>
          </w:p>
        </w:tc>
      </w:tr>
      <w:tr w14:paraId="13BA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68C977D9">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4.1 4.2 4.3</w:t>
            </w:r>
          </w:p>
          <w:p w14:paraId="13D19F70">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6.1.3</w:t>
            </w:r>
          </w:p>
        </w:tc>
        <w:tc>
          <w:tcPr>
            <w:tcW w:w="869" w:type="dxa"/>
            <w:vAlign w:val="center"/>
          </w:tcPr>
          <w:p w14:paraId="28635B4F">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相关方沟通</w:t>
            </w:r>
          </w:p>
        </w:tc>
        <w:tc>
          <w:tcPr>
            <w:tcW w:w="2073" w:type="dxa"/>
            <w:vAlign w:val="center"/>
          </w:tcPr>
          <w:p w14:paraId="53DA8E7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与质检局联系沟通不够，造成违规风险</w:t>
            </w:r>
          </w:p>
        </w:tc>
        <w:tc>
          <w:tcPr>
            <w:tcW w:w="1558" w:type="dxa"/>
            <w:vAlign w:val="center"/>
          </w:tcPr>
          <w:p w14:paraId="117E631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未建立质量管理体系</w:t>
            </w:r>
          </w:p>
          <w:p w14:paraId="31AF801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未规定沟通要求</w:t>
            </w:r>
          </w:p>
        </w:tc>
        <w:tc>
          <w:tcPr>
            <w:tcW w:w="5187" w:type="dxa"/>
            <w:vAlign w:val="center"/>
          </w:tcPr>
          <w:p w14:paraId="71561847">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1明确办公室负责质量管理体系合规性义务信息交流，及时了解质量信息，依法建立质量管理体系(B)</w:t>
            </w:r>
          </w:p>
          <w:p w14:paraId="4E02D48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2质量法规要求及时告知各部门主管，予以实现(B)</w:t>
            </w:r>
          </w:p>
        </w:tc>
        <w:tc>
          <w:tcPr>
            <w:tcW w:w="1168" w:type="dxa"/>
            <w:vAlign w:val="center"/>
          </w:tcPr>
          <w:p w14:paraId="422DD4C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p w14:paraId="63905FD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管理评审</w:t>
            </w:r>
          </w:p>
        </w:tc>
        <w:tc>
          <w:tcPr>
            <w:tcW w:w="903" w:type="dxa"/>
            <w:vAlign w:val="center"/>
          </w:tcPr>
          <w:p w14:paraId="27339DE1">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市场部、办公室</w:t>
            </w:r>
          </w:p>
        </w:tc>
        <w:tc>
          <w:tcPr>
            <w:tcW w:w="2339" w:type="dxa"/>
            <w:vAlign w:val="center"/>
          </w:tcPr>
          <w:p w14:paraId="4E999752">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渠道畅通,符合合规性义务要求</w:t>
            </w:r>
          </w:p>
          <w:p w14:paraId="0051889D">
            <w:pPr>
              <w:widowControl w:val="0"/>
              <w:spacing w:after="0" w:line="220" w:lineRule="atLeast"/>
              <w:jc w:val="both"/>
              <w:rPr>
                <w:rFonts w:asciiTheme="majorEastAsia" w:hAnsiTheme="majorEastAsia" w:eastAsiaTheme="majorEastAsia"/>
                <w:sz w:val="21"/>
                <w:szCs w:val="21"/>
              </w:rPr>
            </w:pPr>
          </w:p>
        </w:tc>
      </w:tr>
      <w:tr w14:paraId="7E00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1CDE6E9E">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6.1.1</w:t>
            </w:r>
          </w:p>
          <w:p w14:paraId="5B440925">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6.1.2</w:t>
            </w:r>
          </w:p>
          <w:p w14:paraId="0E0CA695">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6.1.4</w:t>
            </w:r>
          </w:p>
          <w:p w14:paraId="2745975C">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8.2</w:t>
            </w:r>
          </w:p>
        </w:tc>
        <w:tc>
          <w:tcPr>
            <w:tcW w:w="869" w:type="dxa"/>
            <w:vAlign w:val="center"/>
          </w:tcPr>
          <w:p w14:paraId="45645D0A">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生产策划</w:t>
            </w:r>
          </w:p>
        </w:tc>
        <w:tc>
          <w:tcPr>
            <w:tcW w:w="2073" w:type="dxa"/>
            <w:vAlign w:val="center"/>
          </w:tcPr>
          <w:p w14:paraId="78458EB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工艺文件图纸未明确工艺控制要求和方法，影响现场作业质量的提升</w:t>
            </w:r>
          </w:p>
        </w:tc>
        <w:tc>
          <w:tcPr>
            <w:tcW w:w="1558" w:type="dxa"/>
            <w:vAlign w:val="center"/>
          </w:tcPr>
          <w:p w14:paraId="3DCC562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未建立质量管理体系</w:t>
            </w:r>
          </w:p>
          <w:p w14:paraId="1F065D6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提出管理要求</w:t>
            </w:r>
          </w:p>
        </w:tc>
        <w:tc>
          <w:tcPr>
            <w:tcW w:w="5187" w:type="dxa"/>
            <w:vAlign w:val="center"/>
          </w:tcPr>
          <w:p w14:paraId="180CADA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1操作规程片中规定生产过程中对现场工艺控制要求和方法（A）</w:t>
            </w:r>
          </w:p>
          <w:p w14:paraId="3FD4F32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 日常工艺过程监测时，监测环境控制实施情况（A）</w:t>
            </w:r>
          </w:p>
          <w:p w14:paraId="00499A67">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3对项目部作业人员进行培训，使之充分了解环境控制要求和方法(B)</w:t>
            </w:r>
          </w:p>
        </w:tc>
        <w:tc>
          <w:tcPr>
            <w:tcW w:w="1168" w:type="dxa"/>
            <w:vAlign w:val="center"/>
          </w:tcPr>
          <w:p w14:paraId="6E48619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工艺监测</w:t>
            </w:r>
          </w:p>
          <w:p w14:paraId="5E0C8E2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tc>
        <w:tc>
          <w:tcPr>
            <w:tcW w:w="903" w:type="dxa"/>
            <w:vAlign w:val="center"/>
          </w:tcPr>
          <w:p w14:paraId="2F109E81">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生产部</w:t>
            </w:r>
          </w:p>
          <w:p w14:paraId="3292A033">
            <w:pPr>
              <w:widowControl w:val="0"/>
              <w:spacing w:after="0" w:line="220" w:lineRule="atLeast"/>
              <w:jc w:val="center"/>
              <w:rPr>
                <w:rFonts w:asciiTheme="majorEastAsia" w:hAnsiTheme="majorEastAsia" w:eastAsiaTheme="majorEastAsia"/>
                <w:sz w:val="21"/>
                <w:szCs w:val="21"/>
              </w:rPr>
            </w:pPr>
          </w:p>
        </w:tc>
        <w:tc>
          <w:tcPr>
            <w:tcW w:w="2339" w:type="dxa"/>
            <w:vAlign w:val="center"/>
          </w:tcPr>
          <w:p w14:paraId="325B6EF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工艺技术文件符合质量管理体系要求</w:t>
            </w:r>
          </w:p>
          <w:p w14:paraId="27C2B6DD">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技术交底、作业人员熟悉和掌握现场质量控制要求和方法</w:t>
            </w:r>
          </w:p>
        </w:tc>
      </w:tr>
      <w:tr w14:paraId="1BA1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76BC967A">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4.1 4.2</w:t>
            </w:r>
          </w:p>
          <w:p w14:paraId="39BFDB95">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4.3</w:t>
            </w:r>
          </w:p>
          <w:p w14:paraId="28A76633">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6.1.3</w:t>
            </w:r>
          </w:p>
        </w:tc>
        <w:tc>
          <w:tcPr>
            <w:tcW w:w="869" w:type="dxa"/>
            <w:vAlign w:val="center"/>
          </w:tcPr>
          <w:p w14:paraId="449184C7">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采购</w:t>
            </w:r>
          </w:p>
        </w:tc>
        <w:tc>
          <w:tcPr>
            <w:tcW w:w="2073" w:type="dxa"/>
            <w:vAlign w:val="center"/>
          </w:tcPr>
          <w:p w14:paraId="2F48434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与供方沟通不够，未能共享信息,共享资源,卸货造成环境污染</w:t>
            </w:r>
          </w:p>
        </w:tc>
        <w:tc>
          <w:tcPr>
            <w:tcW w:w="1558" w:type="dxa"/>
            <w:vAlign w:val="center"/>
          </w:tcPr>
          <w:p w14:paraId="2A12CB68">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未建立质量管理体系</w:t>
            </w:r>
          </w:p>
          <w:p w14:paraId="5CE11501">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提出管理要求</w:t>
            </w:r>
          </w:p>
        </w:tc>
        <w:tc>
          <w:tcPr>
            <w:tcW w:w="5187" w:type="dxa"/>
            <w:vAlign w:val="center"/>
          </w:tcPr>
          <w:p w14:paraId="6130F20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1确定办公室与供方就建立体系等要求进行交流（A）</w:t>
            </w:r>
          </w:p>
          <w:p w14:paraId="2D26610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 公司质量管理要求及时告知供方，予以实现(B)</w:t>
            </w:r>
          </w:p>
          <w:p w14:paraId="249E4AF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3 严格材料进厂材料装卸的二次环境污染控制（A）</w:t>
            </w:r>
          </w:p>
        </w:tc>
        <w:tc>
          <w:tcPr>
            <w:tcW w:w="1168" w:type="dxa"/>
            <w:vAlign w:val="center"/>
          </w:tcPr>
          <w:p w14:paraId="4F5DA2C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巡检内审</w:t>
            </w:r>
          </w:p>
          <w:p w14:paraId="2292032D">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进货验证</w:t>
            </w:r>
          </w:p>
          <w:p w14:paraId="5A5A07E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管理评审</w:t>
            </w:r>
          </w:p>
        </w:tc>
        <w:tc>
          <w:tcPr>
            <w:tcW w:w="903" w:type="dxa"/>
            <w:vAlign w:val="center"/>
          </w:tcPr>
          <w:p w14:paraId="024B2ABB">
            <w:pPr>
              <w:widowControl w:val="0"/>
              <w:spacing w:after="0" w:line="220" w:lineRule="atLeast"/>
              <w:jc w:val="center"/>
              <w:rPr>
                <w:rFonts w:hint="eastAsia" w:asciiTheme="majorEastAsia" w:hAnsiTheme="majorEastAsia" w:eastAsiaTheme="majorEastAsia"/>
                <w:sz w:val="21"/>
                <w:szCs w:val="21"/>
                <w:lang w:eastAsia="zh-CN"/>
              </w:rPr>
            </w:pPr>
            <w:r>
              <w:rPr>
                <w:rFonts w:hint="eastAsia" w:asciiTheme="majorEastAsia" w:hAnsiTheme="majorEastAsia" w:eastAsiaTheme="majorEastAsia"/>
                <w:sz w:val="21"/>
                <w:szCs w:val="21"/>
                <w:lang w:val="en-US" w:eastAsia="zh-CN"/>
              </w:rPr>
              <w:t>市场部</w:t>
            </w:r>
          </w:p>
        </w:tc>
        <w:tc>
          <w:tcPr>
            <w:tcW w:w="2339" w:type="dxa"/>
            <w:vAlign w:val="center"/>
          </w:tcPr>
          <w:p w14:paraId="52C1C31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获得更多的、继续合作经营的机会</w:t>
            </w:r>
          </w:p>
          <w:p w14:paraId="228AADBD">
            <w:pPr>
              <w:widowControl w:val="0"/>
              <w:spacing w:after="0" w:line="220" w:lineRule="atLeast"/>
              <w:jc w:val="both"/>
              <w:rPr>
                <w:rFonts w:asciiTheme="majorEastAsia" w:hAnsiTheme="majorEastAsia" w:eastAsiaTheme="majorEastAsia"/>
                <w:sz w:val="21"/>
                <w:szCs w:val="21"/>
              </w:rPr>
            </w:pPr>
          </w:p>
        </w:tc>
      </w:tr>
      <w:tr w14:paraId="3E41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6010F5D5">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6.1.2</w:t>
            </w:r>
          </w:p>
          <w:p w14:paraId="314078EE">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8.1</w:t>
            </w:r>
          </w:p>
        </w:tc>
        <w:tc>
          <w:tcPr>
            <w:tcW w:w="869" w:type="dxa"/>
            <w:vAlign w:val="center"/>
          </w:tcPr>
          <w:p w14:paraId="3A55A94A">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进货</w:t>
            </w:r>
          </w:p>
          <w:p w14:paraId="396B6178">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验证</w:t>
            </w:r>
          </w:p>
        </w:tc>
        <w:tc>
          <w:tcPr>
            <w:tcW w:w="2073" w:type="dxa"/>
            <w:vAlign w:val="center"/>
          </w:tcPr>
          <w:p w14:paraId="65FAE9F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未对原材料码放质量进行监测</w:t>
            </w:r>
          </w:p>
        </w:tc>
        <w:tc>
          <w:tcPr>
            <w:tcW w:w="1558" w:type="dxa"/>
            <w:vAlign w:val="center"/>
          </w:tcPr>
          <w:p w14:paraId="399336D2">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未建立质量管理体系</w:t>
            </w:r>
          </w:p>
          <w:p w14:paraId="583039F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提出管理要求</w:t>
            </w:r>
          </w:p>
        </w:tc>
        <w:tc>
          <w:tcPr>
            <w:tcW w:w="5187" w:type="dxa"/>
            <w:vAlign w:val="center"/>
          </w:tcPr>
          <w:p w14:paraId="39D33B9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1对原材料的码放进行检查（A）</w:t>
            </w:r>
          </w:p>
          <w:p w14:paraId="38AB8DB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 对供方提供的质量验证资料进行环保要求的确认(B)</w:t>
            </w:r>
          </w:p>
        </w:tc>
        <w:tc>
          <w:tcPr>
            <w:tcW w:w="1168" w:type="dxa"/>
            <w:vAlign w:val="center"/>
          </w:tcPr>
          <w:p w14:paraId="6D7F245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p w14:paraId="0DAC69B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进货验证</w:t>
            </w:r>
          </w:p>
        </w:tc>
        <w:tc>
          <w:tcPr>
            <w:tcW w:w="903" w:type="dxa"/>
            <w:vAlign w:val="center"/>
          </w:tcPr>
          <w:p w14:paraId="40CB27D7">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技术部</w:t>
            </w:r>
          </w:p>
        </w:tc>
        <w:tc>
          <w:tcPr>
            <w:tcW w:w="2339" w:type="dxa"/>
            <w:vAlign w:val="center"/>
          </w:tcPr>
          <w:p w14:paraId="5B3DB57D">
            <w:pPr>
              <w:widowControl w:val="0"/>
              <w:spacing w:after="0" w:line="220" w:lineRule="atLeast"/>
              <w:ind w:firstLine="105" w:firstLineChars="50"/>
              <w:jc w:val="both"/>
              <w:rPr>
                <w:rFonts w:asciiTheme="majorEastAsia" w:hAnsiTheme="majorEastAsia" w:eastAsiaTheme="majorEastAsia"/>
                <w:sz w:val="21"/>
                <w:szCs w:val="21"/>
              </w:rPr>
            </w:pPr>
            <w:r>
              <w:rPr>
                <w:rFonts w:hint="eastAsia" w:asciiTheme="majorEastAsia" w:hAnsiTheme="majorEastAsia" w:eastAsiaTheme="majorEastAsia"/>
                <w:sz w:val="21"/>
                <w:szCs w:val="21"/>
              </w:rPr>
              <w:t>验证记录</w:t>
            </w:r>
          </w:p>
          <w:p w14:paraId="23AC892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《检验指导书》</w:t>
            </w:r>
          </w:p>
        </w:tc>
      </w:tr>
      <w:tr w14:paraId="3D09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5D6FD74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4.1</w:t>
            </w:r>
          </w:p>
          <w:p w14:paraId="14AC2E36">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4.2</w:t>
            </w:r>
          </w:p>
          <w:p w14:paraId="2346708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4.3</w:t>
            </w:r>
          </w:p>
        </w:tc>
        <w:tc>
          <w:tcPr>
            <w:tcW w:w="869" w:type="dxa"/>
            <w:vAlign w:val="center"/>
          </w:tcPr>
          <w:p w14:paraId="13470F41">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原料备件贮存防护</w:t>
            </w:r>
          </w:p>
        </w:tc>
        <w:tc>
          <w:tcPr>
            <w:tcW w:w="2073" w:type="dxa"/>
            <w:vAlign w:val="center"/>
          </w:tcPr>
          <w:p w14:paraId="4528EB8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部分原材料区域码放不整齐</w:t>
            </w:r>
          </w:p>
        </w:tc>
        <w:tc>
          <w:tcPr>
            <w:tcW w:w="1558" w:type="dxa"/>
            <w:vAlign w:val="center"/>
          </w:tcPr>
          <w:p w14:paraId="1DC02ED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未实施定置管理</w:t>
            </w:r>
          </w:p>
        </w:tc>
        <w:tc>
          <w:tcPr>
            <w:tcW w:w="5187" w:type="dxa"/>
            <w:vAlign w:val="center"/>
          </w:tcPr>
          <w:p w14:paraId="7EBD301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1原材料、备件区域实施定置管理，提出管理要求（A）2定置要求告知驾驶员、库管员严格遵守（A）</w:t>
            </w:r>
          </w:p>
          <w:p w14:paraId="40A970F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3作业班长按班检查定置要求执行情况（A）</w:t>
            </w:r>
          </w:p>
          <w:p w14:paraId="6D63134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4项目部实施现场监测（A）</w:t>
            </w:r>
          </w:p>
        </w:tc>
        <w:tc>
          <w:tcPr>
            <w:tcW w:w="1168" w:type="dxa"/>
            <w:vAlign w:val="center"/>
          </w:tcPr>
          <w:p w14:paraId="69F406C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日常巡检</w:t>
            </w:r>
          </w:p>
          <w:p w14:paraId="521E6AC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班组自检</w:t>
            </w:r>
          </w:p>
          <w:p w14:paraId="115A6E0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综合联检</w:t>
            </w:r>
          </w:p>
        </w:tc>
        <w:tc>
          <w:tcPr>
            <w:tcW w:w="903" w:type="dxa"/>
            <w:vAlign w:val="center"/>
          </w:tcPr>
          <w:p w14:paraId="5159014C">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生产部</w:t>
            </w:r>
          </w:p>
        </w:tc>
        <w:tc>
          <w:tcPr>
            <w:tcW w:w="2339" w:type="dxa"/>
            <w:vAlign w:val="center"/>
          </w:tcPr>
          <w:p w14:paraId="4F2FA381">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现场有序,符合生产现场管理要求</w:t>
            </w:r>
          </w:p>
          <w:p w14:paraId="039438AE">
            <w:pPr>
              <w:widowControl w:val="0"/>
              <w:spacing w:after="0" w:line="220" w:lineRule="atLeast"/>
              <w:jc w:val="both"/>
              <w:rPr>
                <w:rFonts w:asciiTheme="majorEastAsia" w:hAnsiTheme="majorEastAsia" w:eastAsiaTheme="majorEastAsia"/>
                <w:sz w:val="21"/>
                <w:szCs w:val="21"/>
              </w:rPr>
            </w:pPr>
          </w:p>
        </w:tc>
      </w:tr>
      <w:tr w14:paraId="1DAA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15BE6301">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4.1</w:t>
            </w:r>
          </w:p>
          <w:p w14:paraId="00489B4B">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4.2</w:t>
            </w:r>
          </w:p>
          <w:p w14:paraId="1F211417">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8.1</w:t>
            </w:r>
          </w:p>
        </w:tc>
        <w:tc>
          <w:tcPr>
            <w:tcW w:w="869" w:type="dxa"/>
            <w:vAlign w:val="center"/>
          </w:tcPr>
          <w:p w14:paraId="36804435">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生产技术</w:t>
            </w:r>
          </w:p>
          <w:p w14:paraId="652D9490">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准备</w:t>
            </w:r>
          </w:p>
        </w:tc>
        <w:tc>
          <w:tcPr>
            <w:tcW w:w="2073" w:type="dxa"/>
            <w:vAlign w:val="center"/>
          </w:tcPr>
          <w:p w14:paraId="14F181C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现场部分区域物品码放混乱，易造成安全事件</w:t>
            </w:r>
          </w:p>
        </w:tc>
        <w:tc>
          <w:tcPr>
            <w:tcW w:w="1558" w:type="dxa"/>
            <w:vAlign w:val="center"/>
          </w:tcPr>
          <w:p w14:paraId="3DB4AF5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未实施目视管理和定置管理</w:t>
            </w:r>
          </w:p>
        </w:tc>
        <w:tc>
          <w:tcPr>
            <w:tcW w:w="5187" w:type="dxa"/>
            <w:vAlign w:val="center"/>
          </w:tcPr>
          <w:p w14:paraId="1B9B038D">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1现场对可移动物实施定置管理，保持现场有序（A）</w:t>
            </w:r>
          </w:p>
          <w:p w14:paraId="03FB728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2对QC点、关键设备、区域线等实施色彩控制（A）</w:t>
            </w:r>
          </w:p>
        </w:tc>
        <w:tc>
          <w:tcPr>
            <w:tcW w:w="1168" w:type="dxa"/>
            <w:vAlign w:val="center"/>
          </w:tcPr>
          <w:p w14:paraId="5A99573D">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日常巡检</w:t>
            </w:r>
          </w:p>
          <w:p w14:paraId="2CB293E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班组自检</w:t>
            </w:r>
          </w:p>
          <w:p w14:paraId="4E375DA8">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综合联检</w:t>
            </w:r>
          </w:p>
        </w:tc>
        <w:tc>
          <w:tcPr>
            <w:tcW w:w="903" w:type="dxa"/>
            <w:vAlign w:val="center"/>
          </w:tcPr>
          <w:p w14:paraId="55FEB0EA">
            <w:pPr>
              <w:widowControl w:val="0"/>
              <w:spacing w:after="0" w:line="220" w:lineRule="atLeast"/>
              <w:ind w:firstLine="105" w:firstLineChars="5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生产车间</w:t>
            </w:r>
          </w:p>
        </w:tc>
        <w:tc>
          <w:tcPr>
            <w:tcW w:w="2339" w:type="dxa"/>
            <w:vAlign w:val="center"/>
          </w:tcPr>
          <w:p w14:paraId="5D17BAC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现场有序,符合生产现场管理要求</w:t>
            </w:r>
          </w:p>
          <w:p w14:paraId="289D6A88">
            <w:pPr>
              <w:widowControl w:val="0"/>
              <w:spacing w:after="0" w:line="220" w:lineRule="atLeast"/>
              <w:jc w:val="both"/>
              <w:rPr>
                <w:rFonts w:asciiTheme="majorEastAsia" w:hAnsiTheme="majorEastAsia" w:eastAsiaTheme="majorEastAsia"/>
                <w:sz w:val="21"/>
                <w:szCs w:val="21"/>
              </w:rPr>
            </w:pPr>
          </w:p>
        </w:tc>
      </w:tr>
      <w:tr w14:paraId="1DED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vAlign w:val="center"/>
          </w:tcPr>
          <w:p w14:paraId="1F7D509A">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4.1</w:t>
            </w:r>
          </w:p>
          <w:p w14:paraId="004D840E">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4.2</w:t>
            </w:r>
          </w:p>
          <w:p w14:paraId="7BB7E958">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4.3</w:t>
            </w:r>
          </w:p>
          <w:p w14:paraId="4F59F13F">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6.1.2</w:t>
            </w:r>
          </w:p>
        </w:tc>
        <w:tc>
          <w:tcPr>
            <w:tcW w:w="869" w:type="dxa"/>
            <w:vAlign w:val="center"/>
          </w:tcPr>
          <w:p w14:paraId="369826E6">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生产操作</w:t>
            </w:r>
          </w:p>
        </w:tc>
        <w:tc>
          <w:tcPr>
            <w:tcW w:w="2073" w:type="dxa"/>
            <w:vAlign w:val="center"/>
          </w:tcPr>
          <w:p w14:paraId="1045D98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部分作业场所缺少清扫清洁，影响订单</w:t>
            </w:r>
          </w:p>
        </w:tc>
        <w:tc>
          <w:tcPr>
            <w:tcW w:w="1558" w:type="dxa"/>
            <w:vAlign w:val="center"/>
          </w:tcPr>
          <w:p w14:paraId="40F3B7FF">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作业人员未形成“5S”现代意识</w:t>
            </w:r>
          </w:p>
        </w:tc>
        <w:tc>
          <w:tcPr>
            <w:tcW w:w="5187" w:type="dxa"/>
            <w:vAlign w:val="center"/>
          </w:tcPr>
          <w:p w14:paraId="70D1826D">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 对作业人员进行“5S”培训，掌握其控制要求和方法(B)</w:t>
            </w:r>
          </w:p>
          <w:p w14:paraId="63B817D8">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 设立专人负责现场环境控制，对班组、作业人员进行严格考核（A）</w:t>
            </w:r>
          </w:p>
        </w:tc>
        <w:tc>
          <w:tcPr>
            <w:tcW w:w="1168" w:type="dxa"/>
            <w:vAlign w:val="center"/>
          </w:tcPr>
          <w:p w14:paraId="4927A4F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日常巡检</w:t>
            </w:r>
          </w:p>
          <w:p w14:paraId="1D396306">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班组自检</w:t>
            </w:r>
          </w:p>
          <w:p w14:paraId="09A36CA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现场环境</w:t>
            </w:r>
          </w:p>
          <w:p w14:paraId="428D87F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专检制</w:t>
            </w:r>
          </w:p>
        </w:tc>
        <w:tc>
          <w:tcPr>
            <w:tcW w:w="903" w:type="dxa"/>
            <w:vAlign w:val="center"/>
          </w:tcPr>
          <w:p w14:paraId="5BFD1F60">
            <w:pPr>
              <w:widowControl w:val="0"/>
              <w:spacing w:after="0" w:line="220" w:lineRule="atLeast"/>
              <w:jc w:val="center"/>
              <w:rPr>
                <w:rFonts w:asciiTheme="majorEastAsia" w:hAnsiTheme="majorEastAsia" w:eastAsiaTheme="majorEastAsia"/>
                <w:sz w:val="21"/>
                <w:szCs w:val="21"/>
              </w:rPr>
            </w:pPr>
          </w:p>
          <w:p w14:paraId="2B7FAC3C">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生产部</w:t>
            </w:r>
          </w:p>
        </w:tc>
        <w:tc>
          <w:tcPr>
            <w:tcW w:w="2339" w:type="dxa"/>
            <w:vAlign w:val="center"/>
          </w:tcPr>
          <w:p w14:paraId="75EC221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现场有序,符合岗位人员过程控制能力要求和生产现场管理要求</w:t>
            </w:r>
          </w:p>
          <w:p w14:paraId="6B074C0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《管理制度汇编》</w:t>
            </w:r>
          </w:p>
        </w:tc>
      </w:tr>
      <w:tr w14:paraId="170F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689" w:type="dxa"/>
            <w:vAlign w:val="center"/>
          </w:tcPr>
          <w:p w14:paraId="5D854E91">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5.2</w:t>
            </w:r>
          </w:p>
          <w:p w14:paraId="56561842">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6.2.1</w:t>
            </w:r>
          </w:p>
          <w:p w14:paraId="3DB22877">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6.1.3</w:t>
            </w:r>
          </w:p>
          <w:p w14:paraId="23D415C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18"/>
                <w:szCs w:val="18"/>
              </w:rPr>
              <w:t>6.1.4</w:t>
            </w:r>
          </w:p>
        </w:tc>
        <w:tc>
          <w:tcPr>
            <w:tcW w:w="869" w:type="dxa"/>
            <w:vAlign w:val="center"/>
          </w:tcPr>
          <w:p w14:paraId="591BD973">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生产操作</w:t>
            </w:r>
          </w:p>
        </w:tc>
        <w:tc>
          <w:tcPr>
            <w:tcW w:w="2073" w:type="dxa"/>
            <w:vAlign w:val="center"/>
          </w:tcPr>
          <w:p w14:paraId="70D98B46">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员工如果对质量方针、目标不理解,影响体系有效运行</w:t>
            </w:r>
          </w:p>
        </w:tc>
        <w:tc>
          <w:tcPr>
            <w:tcW w:w="1558" w:type="dxa"/>
            <w:vAlign w:val="center"/>
          </w:tcPr>
          <w:p w14:paraId="57986AB6">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培训力度不足</w:t>
            </w:r>
          </w:p>
        </w:tc>
        <w:tc>
          <w:tcPr>
            <w:tcW w:w="5187" w:type="dxa"/>
            <w:vAlign w:val="center"/>
          </w:tcPr>
          <w:p w14:paraId="62C1DC3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 办公室组织管理技术人员进行目标要求培训，建立公司、部门环境目标(B)</w:t>
            </w:r>
          </w:p>
          <w:p w14:paraId="3D4C6F19">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2质量方针、目标利网站、用展板进行宣传学习(B)</w:t>
            </w:r>
          </w:p>
        </w:tc>
        <w:tc>
          <w:tcPr>
            <w:tcW w:w="1168" w:type="dxa"/>
            <w:vAlign w:val="center"/>
          </w:tcPr>
          <w:p w14:paraId="08A8C81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p w14:paraId="76323D4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管理评审</w:t>
            </w:r>
          </w:p>
        </w:tc>
        <w:tc>
          <w:tcPr>
            <w:tcW w:w="903" w:type="dxa"/>
            <w:vAlign w:val="center"/>
          </w:tcPr>
          <w:p w14:paraId="73DF5E7D">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生产车间</w:t>
            </w:r>
          </w:p>
          <w:p w14:paraId="43F1EA0A">
            <w:pPr>
              <w:widowControl w:val="0"/>
              <w:spacing w:after="0" w:line="220" w:lineRule="atLeast"/>
              <w:jc w:val="center"/>
              <w:rPr>
                <w:rFonts w:asciiTheme="majorEastAsia" w:hAnsiTheme="majorEastAsia" w:eastAsiaTheme="majorEastAsia"/>
                <w:sz w:val="21"/>
                <w:szCs w:val="21"/>
              </w:rPr>
            </w:pPr>
          </w:p>
        </w:tc>
        <w:tc>
          <w:tcPr>
            <w:tcW w:w="2339" w:type="dxa"/>
            <w:vAlign w:val="center"/>
          </w:tcPr>
          <w:p w14:paraId="6CC25A4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熟悉质量方针、目标</w:t>
            </w:r>
          </w:p>
          <w:p w14:paraId="74DA1F0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《年度培训计划》</w:t>
            </w:r>
          </w:p>
        </w:tc>
      </w:tr>
      <w:tr w14:paraId="7851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689" w:type="dxa"/>
            <w:vAlign w:val="center"/>
          </w:tcPr>
          <w:p w14:paraId="7D837FD6">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6.1.1</w:t>
            </w:r>
          </w:p>
          <w:p w14:paraId="041832D9">
            <w:pPr>
              <w:widowControl w:val="0"/>
              <w:spacing w:after="0" w:line="220" w:lineRule="atLeas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6.1.2</w:t>
            </w:r>
          </w:p>
          <w:p w14:paraId="4F1DB267">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18"/>
                <w:szCs w:val="18"/>
              </w:rPr>
              <w:t>8.1</w:t>
            </w:r>
          </w:p>
        </w:tc>
        <w:tc>
          <w:tcPr>
            <w:tcW w:w="869" w:type="dxa"/>
            <w:vAlign w:val="center"/>
          </w:tcPr>
          <w:p w14:paraId="6F8EC1CB">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生产监测</w:t>
            </w:r>
          </w:p>
        </w:tc>
        <w:tc>
          <w:tcPr>
            <w:tcW w:w="2073" w:type="dxa"/>
            <w:vAlign w:val="center"/>
          </w:tcPr>
          <w:p w14:paraId="22C0B83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未对在生产过程质量进行监测</w:t>
            </w:r>
          </w:p>
        </w:tc>
        <w:tc>
          <w:tcPr>
            <w:tcW w:w="1558" w:type="dxa"/>
            <w:vAlign w:val="center"/>
          </w:tcPr>
          <w:p w14:paraId="41A2C6AD">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未建立质量管理体系</w:t>
            </w:r>
          </w:p>
          <w:p w14:paraId="4EE97D4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提出管理要求</w:t>
            </w:r>
          </w:p>
        </w:tc>
        <w:tc>
          <w:tcPr>
            <w:tcW w:w="5187" w:type="dxa"/>
            <w:vAlign w:val="center"/>
          </w:tcPr>
          <w:p w14:paraId="68B9F4AF">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1对生产过程进行检查（A）</w:t>
            </w:r>
          </w:p>
          <w:p w14:paraId="2F67BAEC">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 对生产工艺过程控制的环境因素进行监测(A)</w:t>
            </w:r>
          </w:p>
        </w:tc>
        <w:tc>
          <w:tcPr>
            <w:tcW w:w="1168" w:type="dxa"/>
            <w:vAlign w:val="center"/>
          </w:tcPr>
          <w:p w14:paraId="1744BF3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p w14:paraId="38D1726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过程检查成品检验</w:t>
            </w:r>
          </w:p>
        </w:tc>
        <w:tc>
          <w:tcPr>
            <w:tcW w:w="903" w:type="dxa"/>
            <w:vAlign w:val="center"/>
          </w:tcPr>
          <w:p w14:paraId="187F0FC1">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技术部</w:t>
            </w:r>
          </w:p>
        </w:tc>
        <w:tc>
          <w:tcPr>
            <w:tcW w:w="2339" w:type="dxa"/>
            <w:vAlign w:val="center"/>
          </w:tcPr>
          <w:p w14:paraId="072475A5">
            <w:pPr>
              <w:widowControl w:val="0"/>
              <w:spacing w:after="0" w:line="220" w:lineRule="atLeast"/>
              <w:ind w:firstLine="105" w:firstLineChars="50"/>
              <w:jc w:val="both"/>
              <w:rPr>
                <w:rFonts w:asciiTheme="majorEastAsia" w:hAnsiTheme="majorEastAsia" w:eastAsiaTheme="majorEastAsia"/>
                <w:sz w:val="21"/>
                <w:szCs w:val="21"/>
              </w:rPr>
            </w:pPr>
            <w:r>
              <w:rPr>
                <w:rFonts w:hint="eastAsia" w:asciiTheme="majorEastAsia" w:hAnsiTheme="majorEastAsia" w:eastAsiaTheme="majorEastAsia"/>
                <w:sz w:val="21"/>
                <w:szCs w:val="21"/>
              </w:rPr>
              <w:t>工艺监测记录</w:t>
            </w:r>
          </w:p>
          <w:p w14:paraId="50CB519F">
            <w:pPr>
              <w:widowControl w:val="0"/>
              <w:spacing w:after="0" w:line="220" w:lineRule="atLeast"/>
              <w:ind w:firstLine="105" w:firstLineChars="50"/>
              <w:jc w:val="both"/>
              <w:rPr>
                <w:rFonts w:asciiTheme="majorEastAsia" w:hAnsiTheme="majorEastAsia" w:eastAsiaTheme="majorEastAsia"/>
                <w:sz w:val="21"/>
                <w:szCs w:val="21"/>
              </w:rPr>
            </w:pPr>
            <w:r>
              <w:rPr>
                <w:rFonts w:hint="eastAsia" w:asciiTheme="majorEastAsia" w:hAnsiTheme="majorEastAsia" w:eastAsiaTheme="majorEastAsia"/>
                <w:sz w:val="21"/>
                <w:szCs w:val="21"/>
              </w:rPr>
              <w:t>在生产过程检验记录</w:t>
            </w:r>
          </w:p>
          <w:p w14:paraId="26D32A5C">
            <w:pPr>
              <w:widowControl w:val="0"/>
              <w:spacing w:after="0" w:line="220" w:lineRule="atLeast"/>
              <w:jc w:val="both"/>
              <w:rPr>
                <w:rFonts w:asciiTheme="majorEastAsia" w:hAnsiTheme="majorEastAsia" w:eastAsiaTheme="majorEastAsia"/>
                <w:sz w:val="21"/>
                <w:szCs w:val="21"/>
              </w:rPr>
            </w:pPr>
          </w:p>
        </w:tc>
      </w:tr>
      <w:tr w14:paraId="5F4B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689" w:type="dxa"/>
            <w:vAlign w:val="center"/>
          </w:tcPr>
          <w:p w14:paraId="642EF5A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6.1</w:t>
            </w:r>
          </w:p>
          <w:p w14:paraId="4AEB9817">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9.1</w:t>
            </w:r>
          </w:p>
          <w:p w14:paraId="678B2B24">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9.3</w:t>
            </w:r>
          </w:p>
        </w:tc>
        <w:tc>
          <w:tcPr>
            <w:tcW w:w="869" w:type="dxa"/>
            <w:vAlign w:val="center"/>
          </w:tcPr>
          <w:p w14:paraId="36233BC2">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体系</w:t>
            </w:r>
          </w:p>
          <w:p w14:paraId="2F814ABB">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运行</w:t>
            </w:r>
          </w:p>
        </w:tc>
        <w:tc>
          <w:tcPr>
            <w:tcW w:w="2073" w:type="dxa"/>
            <w:vAlign w:val="center"/>
          </w:tcPr>
          <w:p w14:paraId="28451538">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管理评审风险和机遇评价信息不完整，影响体系运行有效性和符合性</w:t>
            </w:r>
          </w:p>
        </w:tc>
        <w:tc>
          <w:tcPr>
            <w:tcW w:w="1558" w:type="dxa"/>
            <w:vAlign w:val="center"/>
          </w:tcPr>
          <w:p w14:paraId="3DA7FA72">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未建立质量管理体系</w:t>
            </w:r>
          </w:p>
          <w:p w14:paraId="3865E09B">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提出管理要求</w:t>
            </w:r>
          </w:p>
        </w:tc>
        <w:tc>
          <w:tcPr>
            <w:tcW w:w="5187" w:type="dxa"/>
            <w:vAlign w:val="center"/>
          </w:tcPr>
          <w:p w14:paraId="4FFB3566">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1 办公室深入各部门进行管理评审前准备工作(B)</w:t>
            </w:r>
          </w:p>
          <w:p w14:paraId="5F15B750">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2质量方针与目标实现、风险措施验证、合规性义务履行作为评审重点，寻找体系改进机会(B)</w:t>
            </w:r>
          </w:p>
        </w:tc>
        <w:tc>
          <w:tcPr>
            <w:tcW w:w="1168" w:type="dxa"/>
            <w:vAlign w:val="center"/>
          </w:tcPr>
          <w:p w14:paraId="6E4D6B4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内审</w:t>
            </w:r>
          </w:p>
          <w:p w14:paraId="405F30B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管理评审</w:t>
            </w:r>
          </w:p>
        </w:tc>
        <w:tc>
          <w:tcPr>
            <w:tcW w:w="903" w:type="dxa"/>
            <w:vAlign w:val="center"/>
          </w:tcPr>
          <w:p w14:paraId="6586F67B">
            <w:pPr>
              <w:widowControl w:val="0"/>
              <w:spacing w:after="0" w:line="220" w:lineRule="atLeast"/>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办公室</w:t>
            </w:r>
          </w:p>
        </w:tc>
        <w:tc>
          <w:tcPr>
            <w:tcW w:w="2339" w:type="dxa"/>
            <w:vAlign w:val="center"/>
          </w:tcPr>
          <w:p w14:paraId="172EACE5">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持续改进体系有效性</w:t>
            </w:r>
          </w:p>
          <w:p w14:paraId="698499C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《管理评审报告》</w:t>
            </w:r>
          </w:p>
        </w:tc>
      </w:tr>
      <w:tr w14:paraId="7AE1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558" w:type="dxa"/>
            <w:gridSpan w:val="2"/>
            <w:vAlign w:val="center"/>
          </w:tcPr>
          <w:p w14:paraId="0710FB1B">
            <w:pPr>
              <w:widowControl w:val="0"/>
              <w:spacing w:after="0" w:line="220" w:lineRule="atLeast"/>
              <w:ind w:left="110" w:leftChars="50" w:firstLine="105" w:firstLineChars="50"/>
              <w:jc w:val="both"/>
              <w:rPr>
                <w:rFonts w:asciiTheme="majorEastAsia" w:hAnsiTheme="majorEastAsia" w:eastAsiaTheme="majorEastAsia"/>
                <w:sz w:val="21"/>
                <w:szCs w:val="21"/>
              </w:rPr>
            </w:pPr>
            <w:r>
              <w:rPr>
                <w:rFonts w:hint="eastAsia" w:asciiTheme="majorEastAsia" w:hAnsiTheme="majorEastAsia" w:eastAsiaTheme="majorEastAsia"/>
                <w:sz w:val="21"/>
                <w:szCs w:val="21"/>
              </w:rPr>
              <w:t>备    注</w:t>
            </w:r>
          </w:p>
        </w:tc>
        <w:tc>
          <w:tcPr>
            <w:tcW w:w="13228" w:type="dxa"/>
            <w:gridSpan w:val="6"/>
            <w:vAlign w:val="center"/>
          </w:tcPr>
          <w:p w14:paraId="15DD552E">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注1：控制程度 ：“A”为关键实施过程，优先、重点控制；“B”为一般过程，次级控制</w:t>
            </w:r>
          </w:p>
          <w:p w14:paraId="1BDD95B3">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注2：标准对于风险和机遇措施控制，十个条款明示要求：4.1 理解组织及其所处环境  4.2 理解相关方的需求和期望 4.3  确定环境管理体系范围</w:t>
            </w:r>
          </w:p>
          <w:p w14:paraId="26D80B4E">
            <w:pPr>
              <w:widowControl w:val="0"/>
              <w:spacing w:after="0" w:line="220" w:lineRule="atLeast"/>
              <w:ind w:firstLine="525" w:firstLineChars="250"/>
              <w:jc w:val="both"/>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6.1.1 应对风险和机遇的措施 6.1.3 合规性义务  6.1.4 措施的策划  6.1.2环境因素 6.2.1 环境目标  8.2 应急准备和响应  9.3  管理评审</w:t>
            </w:r>
          </w:p>
          <w:p w14:paraId="1CCFA06A">
            <w:pPr>
              <w:widowControl w:val="0"/>
              <w:spacing w:after="0" w:line="220" w:lineRule="atLeast"/>
              <w:jc w:val="both"/>
              <w:rPr>
                <w:rFonts w:asciiTheme="majorEastAsia" w:hAnsiTheme="majorEastAsia" w:eastAsiaTheme="majorEastAsia"/>
                <w:sz w:val="21"/>
                <w:szCs w:val="21"/>
              </w:rPr>
            </w:pPr>
            <w:r>
              <w:rPr>
                <w:rFonts w:hint="eastAsia" w:asciiTheme="majorEastAsia" w:hAnsiTheme="majorEastAsia" w:eastAsiaTheme="majorEastAsia"/>
                <w:sz w:val="21"/>
                <w:szCs w:val="21"/>
              </w:rPr>
              <w:t>注3：识别、评价、确认二十个方面存在的环境风险和机遇，以此制定了以上对策措施</w:t>
            </w:r>
          </w:p>
        </w:tc>
      </w:tr>
    </w:tbl>
    <w:p w14:paraId="1617C09E">
      <w:pPr>
        <w:spacing w:after="0"/>
        <w:ind w:firstLine="425"/>
        <w:rPr>
          <w:rFonts w:asciiTheme="majorEastAsia" w:hAnsiTheme="majorEastAsia" w:eastAsiaTheme="majorEastAsia"/>
          <w:b/>
          <w:bCs/>
        </w:rPr>
      </w:pPr>
    </w:p>
    <w:sectPr>
      <w:pgSz w:w="16838" w:h="11906" w:orient="landscape"/>
      <w:pgMar w:top="1134" w:right="1134" w:bottom="1134" w:left="1134" w:header="709"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3875890"/>
      <w:docPartObj>
        <w:docPartGallery w:val="autotext"/>
      </w:docPartObj>
    </w:sdtPr>
    <w:sdtContent>
      <w:sdt>
        <w:sdtPr>
          <w:id w:val="-1669238322"/>
          <w:docPartObj>
            <w:docPartGallery w:val="autotext"/>
          </w:docPartObj>
        </w:sdtPr>
        <w:sdtContent>
          <w:p w14:paraId="12AEEAD8">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w:t>
            </w:r>
          </w:p>
        </w:sdtContent>
      </w:sdt>
    </w:sdtContent>
  </w:sdt>
  <w:p w14:paraId="7A2277A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8EE3D">
    <w:pPr>
      <w:pStyle w:val="3"/>
      <w:framePr w:wrap="around" w:vAnchor="text" w:hAnchor="margin" w:xAlign="center" w:y="1"/>
      <w:rPr>
        <w:rStyle w:val="10"/>
      </w:rPr>
    </w:pPr>
    <w:r>
      <w:fldChar w:fldCharType="begin"/>
    </w:r>
    <w:r>
      <w:rPr>
        <w:rStyle w:val="10"/>
      </w:rPr>
      <w:instrText xml:space="preserve">PAGE  </w:instrText>
    </w:r>
    <w:r>
      <w:fldChar w:fldCharType="separate"/>
    </w:r>
    <w:r>
      <w:rPr>
        <w:rStyle w:val="10"/>
      </w:rPr>
      <w:t>4</w:t>
    </w:r>
    <w:r>
      <w:fldChar w:fldCharType="end"/>
    </w:r>
  </w:p>
  <w:p w14:paraId="59467C3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D1F47">
    <w:pPr>
      <w:pStyle w:val="4"/>
    </w:pPr>
    <w:r>
      <w:fldChar w:fldCharType="begin"/>
    </w:r>
    <w:r>
      <w:rPr>
        <w:rStyle w:val="10"/>
      </w:rPr>
      <w:instrText xml:space="preserve"> PAGE </w:instrText>
    </w:r>
    <w:r>
      <w:fldChar w:fldCharType="separate"/>
    </w:r>
    <w:r>
      <w:rPr>
        <w:rStyle w:val="10"/>
      </w:rPr>
      <w:t>4</w:t>
    </w:r>
    <w:r>
      <w:fldChar w:fldCharType="end"/>
    </w:r>
    <w:r>
      <w:fldChar w:fldCharType="begin"/>
    </w:r>
    <w:r>
      <w:rPr>
        <w:rStyle w:val="10"/>
      </w:rPr>
      <w:instrText xml:space="preserve"> PAGE </w:instrText>
    </w:r>
    <w:r>
      <w:fldChar w:fldCharType="separate"/>
    </w:r>
    <w:r>
      <w:rPr>
        <w:rStyle w:val="10"/>
      </w:rPr>
      <w:t>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674DC">
    <w:pPr>
      <w:pStyle w:val="4"/>
    </w:pPr>
    <w:r>
      <w:fldChar w:fldCharType="begin"/>
    </w:r>
    <w:r>
      <w:rPr>
        <w:rStyle w:val="10"/>
      </w:rPr>
      <w:instrText xml:space="preserve"> NUMPAGES </w:instrText>
    </w:r>
    <w:r>
      <w:fldChar w:fldCharType="separate"/>
    </w:r>
    <w:r>
      <w:rPr>
        <w:rStyle w:val="10"/>
        <w:lang w:val="zh-CN"/>
      </w:rPr>
      <w:t>7</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footnotePr>
    <w:footnote w:id="0"/>
    <w:footnote w:id="1"/>
  </w:footnotePr>
  <w:compat>
    <w:ulTrailSpace/>
    <w:useFELayout/>
    <w:compatSetting w:name="compatibilityMode" w:uri="http://schemas.microsoft.com/office/word" w:val="12"/>
  </w:compat>
  <w:docVars>
    <w:docVar w:name="commondata" w:val="eyJoZGlkIjoiZDcwNDAzNGRiNGFlZTExMWI4NzdlNjZiYjYyODVhZmUifQ=="/>
  </w:docVars>
  <w:rsids>
    <w:rsidRoot w:val="00D31D50"/>
    <w:rsid w:val="00014B3B"/>
    <w:rsid w:val="00024A10"/>
    <w:rsid w:val="000664B6"/>
    <w:rsid w:val="00083745"/>
    <w:rsid w:val="000941AF"/>
    <w:rsid w:val="000B2210"/>
    <w:rsid w:val="000D0E40"/>
    <w:rsid w:val="00114973"/>
    <w:rsid w:val="00116780"/>
    <w:rsid w:val="0012076A"/>
    <w:rsid w:val="001B4840"/>
    <w:rsid w:val="002869AC"/>
    <w:rsid w:val="002C7992"/>
    <w:rsid w:val="002C7D1A"/>
    <w:rsid w:val="002D4115"/>
    <w:rsid w:val="002D48C0"/>
    <w:rsid w:val="00323B43"/>
    <w:rsid w:val="0035725B"/>
    <w:rsid w:val="00366902"/>
    <w:rsid w:val="003D37D8"/>
    <w:rsid w:val="0042075B"/>
    <w:rsid w:val="00426133"/>
    <w:rsid w:val="004343FC"/>
    <w:rsid w:val="004358AB"/>
    <w:rsid w:val="00441715"/>
    <w:rsid w:val="004719C0"/>
    <w:rsid w:val="004F6857"/>
    <w:rsid w:val="005A30F3"/>
    <w:rsid w:val="00605C93"/>
    <w:rsid w:val="0063029C"/>
    <w:rsid w:val="00630438"/>
    <w:rsid w:val="00634ABD"/>
    <w:rsid w:val="0065715E"/>
    <w:rsid w:val="00754D95"/>
    <w:rsid w:val="00775FFE"/>
    <w:rsid w:val="00790C90"/>
    <w:rsid w:val="007A64A6"/>
    <w:rsid w:val="00850DF7"/>
    <w:rsid w:val="008825F2"/>
    <w:rsid w:val="008A23DE"/>
    <w:rsid w:val="008B7726"/>
    <w:rsid w:val="008C2C92"/>
    <w:rsid w:val="009552D7"/>
    <w:rsid w:val="0096380D"/>
    <w:rsid w:val="009A079C"/>
    <w:rsid w:val="009B7B81"/>
    <w:rsid w:val="00A217C2"/>
    <w:rsid w:val="00AC21D0"/>
    <w:rsid w:val="00B6002A"/>
    <w:rsid w:val="00B75815"/>
    <w:rsid w:val="00B81BBA"/>
    <w:rsid w:val="00B928F1"/>
    <w:rsid w:val="00C32051"/>
    <w:rsid w:val="00CB4A6C"/>
    <w:rsid w:val="00D10574"/>
    <w:rsid w:val="00D14135"/>
    <w:rsid w:val="00D31D50"/>
    <w:rsid w:val="00D34B80"/>
    <w:rsid w:val="00D50583"/>
    <w:rsid w:val="00E020B4"/>
    <w:rsid w:val="00E3127F"/>
    <w:rsid w:val="00E8669A"/>
    <w:rsid w:val="00E94586"/>
    <w:rsid w:val="00EE5BBD"/>
    <w:rsid w:val="00F45FCE"/>
    <w:rsid w:val="00F60E95"/>
    <w:rsid w:val="060774EA"/>
    <w:rsid w:val="062E0F1B"/>
    <w:rsid w:val="066E7569"/>
    <w:rsid w:val="06700151"/>
    <w:rsid w:val="076369A2"/>
    <w:rsid w:val="076B7598"/>
    <w:rsid w:val="0CC223BD"/>
    <w:rsid w:val="0F2D32D7"/>
    <w:rsid w:val="14445DAD"/>
    <w:rsid w:val="15976809"/>
    <w:rsid w:val="1B4C39D5"/>
    <w:rsid w:val="1C2F4B88"/>
    <w:rsid w:val="1FA53BA4"/>
    <w:rsid w:val="21476486"/>
    <w:rsid w:val="248B50F5"/>
    <w:rsid w:val="27A97B8C"/>
    <w:rsid w:val="29691475"/>
    <w:rsid w:val="2A2A13F9"/>
    <w:rsid w:val="2A767047"/>
    <w:rsid w:val="316A0958"/>
    <w:rsid w:val="32FC2F5A"/>
    <w:rsid w:val="335C05C6"/>
    <w:rsid w:val="337D22BD"/>
    <w:rsid w:val="34A9783B"/>
    <w:rsid w:val="357315A9"/>
    <w:rsid w:val="35D849E9"/>
    <w:rsid w:val="37543626"/>
    <w:rsid w:val="39C2524A"/>
    <w:rsid w:val="3AD60C5E"/>
    <w:rsid w:val="3CD4741F"/>
    <w:rsid w:val="3F7C2A67"/>
    <w:rsid w:val="420E211C"/>
    <w:rsid w:val="42286056"/>
    <w:rsid w:val="42CC44AF"/>
    <w:rsid w:val="457F64E0"/>
    <w:rsid w:val="48D662CD"/>
    <w:rsid w:val="4C7622A1"/>
    <w:rsid w:val="4DF0371B"/>
    <w:rsid w:val="504612FB"/>
    <w:rsid w:val="510B3574"/>
    <w:rsid w:val="54D44721"/>
    <w:rsid w:val="55AA1553"/>
    <w:rsid w:val="57016C0B"/>
    <w:rsid w:val="586B4C84"/>
    <w:rsid w:val="58C61EBA"/>
    <w:rsid w:val="59841E6D"/>
    <w:rsid w:val="5AAC362F"/>
    <w:rsid w:val="5EF951B8"/>
    <w:rsid w:val="60B173FC"/>
    <w:rsid w:val="61D61F0F"/>
    <w:rsid w:val="67432789"/>
    <w:rsid w:val="68E9153F"/>
    <w:rsid w:val="6A024D1C"/>
    <w:rsid w:val="6E3107EA"/>
    <w:rsid w:val="73DA26FA"/>
    <w:rsid w:val="743B1556"/>
    <w:rsid w:val="76674697"/>
    <w:rsid w:val="76BC3B05"/>
    <w:rsid w:val="79294D99"/>
    <w:rsid w:val="79D73ACF"/>
    <w:rsid w:val="7AA02113"/>
    <w:rsid w:val="7ADC3515"/>
    <w:rsid w:val="7EB90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4"/>
    <w:qFormat/>
    <w:uiPriority w:val="0"/>
    <w:pPr>
      <w:keepNext/>
      <w:widowControl w:val="0"/>
      <w:pBdr>
        <w:bottom w:val="single" w:color="auto" w:sz="6" w:space="1"/>
      </w:pBdr>
      <w:adjustRightInd/>
      <w:snapToGrid/>
      <w:spacing w:after="0"/>
      <w:jc w:val="right"/>
      <w:outlineLvl w:val="0"/>
    </w:pPr>
    <w:rPr>
      <w:rFonts w:ascii="Times New Roman" w:hAnsi="Times New Roman" w:eastAsia="宋体" w:cs="Times New Roman"/>
      <w:b/>
      <w:bCs/>
      <w:kern w:val="2"/>
      <w:sz w:val="24"/>
      <w:szCs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HTML Preformatted"/>
    <w:basedOn w:val="1"/>
    <w:link w:val="1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hAnsi="宋体" w:eastAsia="宋体" w:cs="宋体"/>
      <w:sz w:val="24"/>
      <w:szCs w:val="24"/>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99"/>
  </w:style>
  <w:style w:type="character" w:customStyle="1" w:styleId="11">
    <w:name w:val="Header Char"/>
    <w:basedOn w:val="9"/>
    <w:link w:val="4"/>
    <w:semiHidden/>
    <w:qFormat/>
    <w:uiPriority w:val="99"/>
    <w:rPr>
      <w:rFonts w:ascii="Tahoma" w:hAnsi="Tahoma"/>
      <w:sz w:val="18"/>
      <w:szCs w:val="18"/>
    </w:rPr>
  </w:style>
  <w:style w:type="character" w:customStyle="1" w:styleId="12">
    <w:name w:val="Footer Char"/>
    <w:basedOn w:val="9"/>
    <w:link w:val="3"/>
    <w:qFormat/>
    <w:uiPriority w:val="99"/>
    <w:rPr>
      <w:rFonts w:ascii="Tahoma" w:hAnsi="Tahoma"/>
      <w:sz w:val="18"/>
      <w:szCs w:val="18"/>
    </w:rPr>
  </w:style>
  <w:style w:type="character" w:customStyle="1" w:styleId="13">
    <w:name w:val="HTML Preformatted Char"/>
    <w:basedOn w:val="9"/>
    <w:link w:val="5"/>
    <w:qFormat/>
    <w:uiPriority w:val="99"/>
    <w:rPr>
      <w:rFonts w:ascii="宋体" w:hAnsi="宋体" w:eastAsia="宋体" w:cs="宋体"/>
      <w:sz w:val="24"/>
      <w:szCs w:val="24"/>
    </w:rPr>
  </w:style>
  <w:style w:type="character" w:customStyle="1" w:styleId="14">
    <w:name w:val="Heading 1 Char"/>
    <w:basedOn w:val="9"/>
    <w:link w:val="2"/>
    <w:qFormat/>
    <w:uiPriority w:val="0"/>
    <w:rPr>
      <w:rFonts w:ascii="Times New Roman" w:hAnsi="Times New Roman" w:eastAsia="宋体" w:cs="Times New Roman"/>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4281</Words>
  <Characters>4532</Characters>
  <Lines>35</Lines>
  <Paragraphs>10</Paragraphs>
  <TotalTime>20</TotalTime>
  <ScaleCrop>false</ScaleCrop>
  <LinksUpToDate>false</LinksUpToDate>
  <CharactersWithSpaces>4654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心有猛虎细嗅蔷薇</cp:lastModifiedBy>
  <dcterms:modified xsi:type="dcterms:W3CDTF">2025-08-28T09:29:11Z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FC5F986E78374DF6B5A06DA2CB07D7F1</vt:lpwstr>
  </property>
  <property fmtid="{D5CDD505-2E9C-101B-9397-08002B2CF9AE}" pid="4" name="KSOTemplateDocerSaveRecord">
    <vt:lpwstr>eyJoZGlkIjoiYWUwM2FhOWJmOWIyZTA3OTZmMmRhOTVlOTA2MDA4MjMiLCJ1c2VySWQiOiIyOTIxMTMxNDQifQ==</vt:lpwstr>
  </property>
</Properties>
</file>